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6B6DC" w14:textId="77777777" w:rsidR="00644E1D" w:rsidRPr="007F51B9" w:rsidRDefault="00644E1D" w:rsidP="005F5E9F">
      <w:pPr>
        <w:jc w:val="center"/>
        <w:rPr>
          <w:rFonts w:ascii="Times New Roman" w:hAnsi="Times New Roman" w:cs="Times New Roman"/>
          <w:b/>
          <w:bCs/>
          <w:lang w:val="en-US"/>
        </w:rPr>
      </w:pPr>
    </w:p>
    <w:p w14:paraId="23E1D1A4" w14:textId="77777777" w:rsidR="00644E1D" w:rsidRPr="007F51B9" w:rsidRDefault="00644E1D" w:rsidP="005F5E9F">
      <w:pPr>
        <w:jc w:val="center"/>
        <w:rPr>
          <w:rFonts w:ascii="Times New Roman" w:hAnsi="Times New Roman" w:cs="Times New Roman"/>
          <w:b/>
          <w:bCs/>
          <w:lang w:val="en-US"/>
        </w:rPr>
      </w:pPr>
      <w:r>
        <w:rPr>
          <w:rFonts w:ascii="Times New Roman" w:hAnsi="Times New Roman" w:cs="Times New Roman"/>
          <w:b/>
          <w:bCs/>
          <w:lang w:val="en-US"/>
        </w:rPr>
        <w:t>E</w:t>
      </w:r>
      <w:r w:rsidRPr="007F51B9">
        <w:rPr>
          <w:rFonts w:ascii="Times New Roman" w:hAnsi="Times New Roman" w:cs="Times New Roman"/>
          <w:b/>
          <w:bCs/>
          <w:lang w:val="en-US"/>
        </w:rPr>
        <w:t>stablishment of a Compliance Committee</w:t>
      </w:r>
      <w:r>
        <w:rPr>
          <w:rFonts w:ascii="Times New Roman" w:hAnsi="Times New Roman" w:cs="Times New Roman"/>
          <w:b/>
          <w:bCs/>
          <w:lang w:val="en-US"/>
        </w:rPr>
        <w:t xml:space="preserve"> as a subsidiary organ of the Council</w:t>
      </w:r>
    </w:p>
    <w:p w14:paraId="29345181" w14:textId="77777777" w:rsidR="00644E1D" w:rsidRDefault="00644E1D" w:rsidP="005F5E9F">
      <w:pPr>
        <w:rPr>
          <w:rFonts w:ascii="Times New Roman" w:hAnsi="Times New Roman" w:cs="Times New Roman"/>
          <w:b/>
          <w:bCs/>
          <w:lang w:val="en-US"/>
        </w:rPr>
      </w:pPr>
    </w:p>
    <w:p w14:paraId="57277BEE" w14:textId="77777777" w:rsidR="00644E1D" w:rsidRPr="00213F1E" w:rsidRDefault="00644E1D" w:rsidP="005F5E9F">
      <w:pPr>
        <w:rPr>
          <w:rFonts w:ascii="Times New Roman" w:hAnsi="Times New Roman" w:cs="Times New Roman"/>
          <w:b/>
          <w:bCs/>
          <w:sz w:val="20"/>
          <w:szCs w:val="20"/>
          <w:lang w:val="en-US"/>
        </w:rPr>
      </w:pPr>
      <w:r w:rsidRPr="00213F1E">
        <w:rPr>
          <w:rFonts w:ascii="Times New Roman" w:hAnsi="Times New Roman" w:cs="Times New Roman"/>
          <w:b/>
          <w:bCs/>
          <w:sz w:val="20"/>
          <w:szCs w:val="20"/>
          <w:lang w:val="en-US"/>
        </w:rPr>
        <w:t xml:space="preserve">Note by the Informal Working Group </w:t>
      </w:r>
      <w:r>
        <w:rPr>
          <w:rFonts w:ascii="Times New Roman" w:hAnsi="Times New Roman" w:cs="Times New Roman"/>
          <w:b/>
          <w:bCs/>
          <w:sz w:val="20"/>
          <w:szCs w:val="20"/>
          <w:lang w:val="en-US"/>
        </w:rPr>
        <w:t>on ICE</w:t>
      </w:r>
    </w:p>
    <w:p w14:paraId="20CA50E6" w14:textId="77777777" w:rsidR="00644E1D" w:rsidRDefault="00644E1D" w:rsidP="005F5E9F">
      <w:pPr>
        <w:rPr>
          <w:rFonts w:ascii="Times New Roman" w:hAnsi="Times New Roman" w:cs="Times New Roman"/>
          <w:b/>
          <w:bCs/>
          <w:lang w:val="en-US"/>
        </w:rPr>
      </w:pPr>
    </w:p>
    <w:p w14:paraId="0C8E4F90" w14:textId="77777777" w:rsidR="00644E1D" w:rsidRPr="00E850F1" w:rsidRDefault="00644E1D" w:rsidP="005F5E9F">
      <w:p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 </w:t>
      </w:r>
      <w:r w:rsidRPr="00E850F1">
        <w:rPr>
          <w:rFonts w:ascii="Times New Roman" w:hAnsi="Times New Roman" w:cs="Times New Roman"/>
          <w:b/>
          <w:bCs/>
          <w:sz w:val="20"/>
          <w:szCs w:val="20"/>
          <w:lang w:val="en-US"/>
        </w:rPr>
        <w:t>Introduction</w:t>
      </w:r>
    </w:p>
    <w:p w14:paraId="4A8F1024" w14:textId="77777777" w:rsidR="00644E1D" w:rsidRPr="00C52FC4" w:rsidRDefault="00644E1D" w:rsidP="005F5E9F">
      <w:pPr>
        <w:jc w:val="both"/>
        <w:rPr>
          <w:rFonts w:ascii="Times New Roman" w:hAnsi="Times New Roman" w:cs="Times New Roman"/>
          <w:sz w:val="20"/>
          <w:szCs w:val="20"/>
          <w:lang w:val="en-US"/>
        </w:rPr>
      </w:pPr>
      <w:r w:rsidRPr="00C52FC4">
        <w:rPr>
          <w:rFonts w:ascii="Times New Roman" w:hAnsi="Times New Roman" w:cs="Times New Roman"/>
          <w:sz w:val="20"/>
          <w:szCs w:val="20"/>
          <w:lang w:val="en-US"/>
        </w:rPr>
        <w:t>1.</w:t>
      </w:r>
      <w:r>
        <w:rPr>
          <w:rFonts w:ascii="Times New Roman" w:hAnsi="Times New Roman" w:cs="Times New Roman"/>
          <w:sz w:val="20"/>
          <w:szCs w:val="20"/>
          <w:lang w:val="en-US"/>
        </w:rPr>
        <w:tab/>
      </w:r>
      <w:r w:rsidRPr="00C52FC4">
        <w:rPr>
          <w:rFonts w:ascii="Times New Roman" w:hAnsi="Times New Roman" w:cs="Times New Roman"/>
          <w:sz w:val="20"/>
          <w:szCs w:val="20"/>
          <w:lang w:val="en-US"/>
        </w:rPr>
        <w:t xml:space="preserve">It should be underlined that this is a working document which has been prepared by the </w:t>
      </w:r>
      <w:r>
        <w:rPr>
          <w:rFonts w:ascii="Times New Roman" w:hAnsi="Times New Roman" w:cs="Times New Roman"/>
          <w:sz w:val="20"/>
          <w:szCs w:val="20"/>
          <w:lang w:val="en-US"/>
        </w:rPr>
        <w:t>I</w:t>
      </w:r>
      <w:r w:rsidRPr="00C52FC4">
        <w:rPr>
          <w:rFonts w:ascii="Times New Roman" w:hAnsi="Times New Roman" w:cs="Times New Roman"/>
          <w:sz w:val="20"/>
          <w:szCs w:val="20"/>
          <w:lang w:val="en-US"/>
        </w:rPr>
        <w:t xml:space="preserve">nformal </w:t>
      </w:r>
      <w:r>
        <w:rPr>
          <w:rFonts w:ascii="Times New Roman" w:hAnsi="Times New Roman" w:cs="Times New Roman"/>
          <w:sz w:val="20"/>
          <w:szCs w:val="20"/>
          <w:lang w:val="en-US"/>
        </w:rPr>
        <w:t>W</w:t>
      </w:r>
      <w:r w:rsidRPr="00C52FC4">
        <w:rPr>
          <w:rFonts w:ascii="Times New Roman" w:hAnsi="Times New Roman" w:cs="Times New Roman"/>
          <w:sz w:val="20"/>
          <w:szCs w:val="20"/>
          <w:lang w:val="en-US"/>
        </w:rPr>
        <w:t xml:space="preserve">orking </w:t>
      </w:r>
      <w:r>
        <w:rPr>
          <w:rFonts w:ascii="Times New Roman" w:hAnsi="Times New Roman" w:cs="Times New Roman"/>
          <w:sz w:val="20"/>
          <w:szCs w:val="20"/>
          <w:lang w:val="en-US"/>
        </w:rPr>
        <w:t>G</w:t>
      </w:r>
      <w:r w:rsidRPr="00C52FC4">
        <w:rPr>
          <w:rFonts w:ascii="Times New Roman" w:hAnsi="Times New Roman" w:cs="Times New Roman"/>
          <w:sz w:val="20"/>
          <w:szCs w:val="20"/>
          <w:lang w:val="en-US"/>
        </w:rPr>
        <w:t>roup</w:t>
      </w:r>
      <w:r>
        <w:rPr>
          <w:rFonts w:ascii="Times New Roman" w:hAnsi="Times New Roman" w:cs="Times New Roman"/>
          <w:sz w:val="20"/>
          <w:szCs w:val="20"/>
          <w:lang w:val="en-US"/>
        </w:rPr>
        <w:t xml:space="preserve"> on ICE</w:t>
      </w:r>
      <w:r w:rsidRPr="00C52FC4">
        <w:rPr>
          <w:rFonts w:ascii="Times New Roman" w:hAnsi="Times New Roman" w:cs="Times New Roman"/>
          <w:sz w:val="20"/>
          <w:szCs w:val="20"/>
          <w:lang w:val="en-US"/>
        </w:rPr>
        <w:t xml:space="preserve"> for purposes of assisting and providing input to an actual decision of the Council in relation to the establishment of the Compliance Committee. For that reason, a draft decision has been prepared which is in the annex to this note.</w:t>
      </w:r>
    </w:p>
    <w:p w14:paraId="6D6B2432" w14:textId="77777777" w:rsidR="00644E1D" w:rsidRPr="00E850F1" w:rsidRDefault="00644E1D" w:rsidP="005F5E9F">
      <w:p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II. </w:t>
      </w:r>
      <w:r w:rsidRPr="00E850F1">
        <w:rPr>
          <w:rFonts w:ascii="Times New Roman" w:hAnsi="Times New Roman" w:cs="Times New Roman"/>
          <w:b/>
          <w:bCs/>
          <w:sz w:val="20"/>
          <w:szCs w:val="20"/>
          <w:lang w:val="en-US"/>
        </w:rPr>
        <w:t>Background</w:t>
      </w:r>
    </w:p>
    <w:p w14:paraId="42587A51" w14:textId="77777777" w:rsidR="00644E1D" w:rsidRDefault="00644E1D" w:rsidP="005F5E9F">
      <w:pPr>
        <w:jc w:val="both"/>
        <w:rPr>
          <w:rFonts w:ascii="Times New Roman" w:eastAsia="Arial" w:hAnsi="Times New Roman" w:cs="Times New Roman"/>
          <w:color w:val="000000" w:themeColor="text1"/>
          <w:sz w:val="20"/>
          <w:szCs w:val="20"/>
          <w:lang w:val="en-JM"/>
        </w:rPr>
      </w:pPr>
      <w:r>
        <w:rPr>
          <w:rFonts w:ascii="Times New Roman" w:hAnsi="Times New Roman" w:cs="Times New Roman"/>
          <w:sz w:val="20"/>
          <w:szCs w:val="20"/>
          <w:lang w:val="en-US"/>
        </w:rPr>
        <w:t>2.</w:t>
      </w:r>
      <w:r>
        <w:rPr>
          <w:rFonts w:ascii="Times New Roman" w:hAnsi="Times New Roman" w:cs="Times New Roman"/>
          <w:sz w:val="20"/>
          <w:szCs w:val="20"/>
          <w:lang w:val="en-US"/>
        </w:rPr>
        <w:tab/>
      </w:r>
      <w:r w:rsidRPr="007260ED">
        <w:rPr>
          <w:rFonts w:ascii="Times New Roman" w:hAnsi="Times New Roman" w:cs="Times New Roman"/>
          <w:sz w:val="20"/>
          <w:szCs w:val="20"/>
          <w:lang w:val="en-US"/>
        </w:rPr>
        <w:t>During the informal meeting of the ICE group in July</w:t>
      </w:r>
      <w:r>
        <w:rPr>
          <w:rFonts w:ascii="Times New Roman" w:hAnsi="Times New Roman" w:cs="Times New Roman"/>
          <w:sz w:val="20"/>
          <w:szCs w:val="20"/>
          <w:lang w:val="en-US"/>
        </w:rPr>
        <w:t xml:space="preserve"> 2025</w:t>
      </w:r>
      <w:r w:rsidRPr="007260ED">
        <w:rPr>
          <w:rFonts w:ascii="Times New Roman" w:hAnsi="Times New Roman" w:cs="Times New Roman"/>
          <w:sz w:val="20"/>
          <w:szCs w:val="20"/>
          <w:lang w:val="en-US"/>
        </w:rPr>
        <w:t xml:space="preserve">, several participants suggested that the </w:t>
      </w:r>
      <w:r w:rsidRPr="007260ED">
        <w:rPr>
          <w:rFonts w:ascii="Times New Roman" w:eastAsia="Arial" w:hAnsi="Times New Roman" w:cs="Times New Roman"/>
          <w:color w:val="000000" w:themeColor="text1"/>
          <w:sz w:val="20"/>
          <w:szCs w:val="20"/>
          <w:lang w:val="en-JM"/>
        </w:rPr>
        <w:t xml:space="preserve">Exploitation Regulations would not be the place to </w:t>
      </w:r>
      <w:r>
        <w:rPr>
          <w:rFonts w:ascii="Times New Roman" w:eastAsia="Arial" w:hAnsi="Times New Roman" w:cs="Times New Roman"/>
          <w:color w:val="000000" w:themeColor="text1"/>
          <w:sz w:val="20"/>
          <w:szCs w:val="20"/>
          <w:lang w:val="en-JM"/>
        </w:rPr>
        <w:t xml:space="preserve">set out the rules of procedure on the functioning of the Compliance Committee. Rather those matters would be better addressed in the Council’s decision establishing such a </w:t>
      </w:r>
      <w:r w:rsidRPr="007260ED">
        <w:rPr>
          <w:rFonts w:ascii="Times New Roman" w:eastAsia="Arial" w:hAnsi="Times New Roman" w:cs="Times New Roman"/>
          <w:color w:val="000000" w:themeColor="text1"/>
          <w:sz w:val="20"/>
          <w:szCs w:val="20"/>
          <w:lang w:val="en-JM"/>
        </w:rPr>
        <w:t>subsidiary bod</w:t>
      </w:r>
      <w:r>
        <w:rPr>
          <w:rFonts w:ascii="Times New Roman" w:eastAsia="Arial" w:hAnsi="Times New Roman" w:cs="Times New Roman"/>
          <w:color w:val="000000" w:themeColor="text1"/>
          <w:sz w:val="20"/>
          <w:szCs w:val="20"/>
          <w:lang w:val="en-JM"/>
        </w:rPr>
        <w:t>y</w:t>
      </w:r>
      <w:r w:rsidRPr="007260ED">
        <w:rPr>
          <w:rFonts w:ascii="Times New Roman" w:eastAsia="Arial" w:hAnsi="Times New Roman" w:cs="Times New Roman"/>
          <w:color w:val="000000" w:themeColor="text1"/>
          <w:sz w:val="20"/>
          <w:szCs w:val="20"/>
          <w:lang w:val="en-JM"/>
        </w:rPr>
        <w:t xml:space="preserve"> to the Council. </w:t>
      </w:r>
    </w:p>
    <w:p w14:paraId="57593B7C" w14:textId="77777777" w:rsidR="00644E1D" w:rsidRPr="00E850F1" w:rsidRDefault="00644E1D" w:rsidP="005F5E9F">
      <w:pPr>
        <w:rPr>
          <w:rFonts w:ascii="Times New Roman" w:eastAsia="Arial" w:hAnsi="Times New Roman" w:cs="Times New Roman"/>
          <w:b/>
          <w:bCs/>
          <w:color w:val="000000" w:themeColor="text1"/>
          <w:sz w:val="20"/>
          <w:szCs w:val="20"/>
          <w:lang w:val="en-JM"/>
        </w:rPr>
      </w:pPr>
      <w:r>
        <w:rPr>
          <w:rFonts w:ascii="Times New Roman" w:eastAsia="Arial" w:hAnsi="Times New Roman" w:cs="Times New Roman"/>
          <w:b/>
          <w:bCs/>
          <w:color w:val="000000" w:themeColor="text1"/>
          <w:sz w:val="20"/>
          <w:szCs w:val="20"/>
          <w:lang w:val="en-JM"/>
        </w:rPr>
        <w:t xml:space="preserve">III. </w:t>
      </w:r>
      <w:r w:rsidRPr="00E850F1">
        <w:rPr>
          <w:rFonts w:ascii="Times New Roman" w:eastAsia="Arial" w:hAnsi="Times New Roman" w:cs="Times New Roman"/>
          <w:b/>
          <w:bCs/>
          <w:color w:val="000000" w:themeColor="text1"/>
          <w:sz w:val="20"/>
          <w:szCs w:val="20"/>
          <w:lang w:val="en-JM"/>
        </w:rPr>
        <w:t xml:space="preserve">Competence of the Council </w:t>
      </w:r>
      <w:r>
        <w:rPr>
          <w:rFonts w:ascii="Times New Roman" w:eastAsia="Arial" w:hAnsi="Times New Roman" w:cs="Times New Roman"/>
          <w:b/>
          <w:bCs/>
          <w:color w:val="000000" w:themeColor="text1"/>
          <w:sz w:val="20"/>
          <w:szCs w:val="20"/>
          <w:lang w:val="en-JM"/>
        </w:rPr>
        <w:t>to</w:t>
      </w:r>
      <w:r w:rsidRPr="00E850F1">
        <w:rPr>
          <w:rFonts w:ascii="Times New Roman" w:eastAsia="Arial" w:hAnsi="Times New Roman" w:cs="Times New Roman"/>
          <w:b/>
          <w:bCs/>
          <w:color w:val="000000" w:themeColor="text1"/>
          <w:sz w:val="20"/>
          <w:szCs w:val="20"/>
          <w:lang w:val="en-JM"/>
        </w:rPr>
        <w:t xml:space="preserve"> establi</w:t>
      </w:r>
      <w:r>
        <w:rPr>
          <w:rFonts w:ascii="Times New Roman" w:eastAsia="Arial" w:hAnsi="Times New Roman" w:cs="Times New Roman"/>
          <w:b/>
          <w:bCs/>
          <w:color w:val="000000" w:themeColor="text1"/>
          <w:sz w:val="20"/>
          <w:szCs w:val="20"/>
          <w:lang w:val="en-JM"/>
        </w:rPr>
        <w:t>sh</w:t>
      </w:r>
      <w:r w:rsidRPr="00E850F1">
        <w:rPr>
          <w:rFonts w:ascii="Times New Roman" w:eastAsia="Arial" w:hAnsi="Times New Roman" w:cs="Times New Roman"/>
          <w:b/>
          <w:bCs/>
          <w:color w:val="000000" w:themeColor="text1"/>
          <w:sz w:val="20"/>
          <w:szCs w:val="20"/>
          <w:lang w:val="en-JM"/>
        </w:rPr>
        <w:t xml:space="preserve"> the Compliance Committee</w:t>
      </w:r>
      <w:r>
        <w:rPr>
          <w:rFonts w:ascii="Times New Roman" w:eastAsia="Arial" w:hAnsi="Times New Roman" w:cs="Times New Roman"/>
          <w:b/>
          <w:bCs/>
          <w:color w:val="000000" w:themeColor="text1"/>
          <w:sz w:val="20"/>
          <w:szCs w:val="20"/>
          <w:lang w:val="en-JM"/>
        </w:rPr>
        <w:t xml:space="preserve"> as its subsidiary organ </w:t>
      </w:r>
    </w:p>
    <w:p w14:paraId="154BD785" w14:textId="77777777" w:rsidR="00644E1D" w:rsidRDefault="00644E1D" w:rsidP="005F5E9F">
      <w:pPr>
        <w:rPr>
          <w:rFonts w:ascii="Times New Roman" w:eastAsia="Arial" w:hAnsi="Times New Roman" w:cs="Times New Roman"/>
          <w:color w:val="000000" w:themeColor="text1"/>
          <w:sz w:val="20"/>
          <w:szCs w:val="20"/>
          <w:lang w:val="en-JM"/>
        </w:rPr>
      </w:pPr>
      <w:r>
        <w:rPr>
          <w:rFonts w:ascii="Times New Roman" w:eastAsia="Arial" w:hAnsi="Times New Roman" w:cs="Times New Roman"/>
          <w:color w:val="000000" w:themeColor="text1"/>
          <w:sz w:val="20"/>
          <w:szCs w:val="20"/>
          <w:lang w:val="en-JM"/>
        </w:rPr>
        <w:t>3.</w:t>
      </w:r>
      <w:r>
        <w:rPr>
          <w:rFonts w:ascii="Times New Roman" w:eastAsia="Arial" w:hAnsi="Times New Roman" w:cs="Times New Roman"/>
          <w:color w:val="000000" w:themeColor="text1"/>
          <w:sz w:val="20"/>
          <w:szCs w:val="20"/>
          <w:lang w:val="en-JM"/>
        </w:rPr>
        <w:tab/>
      </w:r>
      <w:r w:rsidRPr="004338C8">
        <w:rPr>
          <w:rFonts w:ascii="Times New Roman" w:hAnsi="Times New Roman" w:cs="Times New Roman"/>
          <w:sz w:val="20"/>
          <w:szCs w:val="20"/>
          <w:lang w:val="en-US"/>
        </w:rPr>
        <w:t xml:space="preserve">The Authority’s right to inspect is established in article 153 (5) of the </w:t>
      </w:r>
      <w:r>
        <w:rPr>
          <w:rFonts w:ascii="Times New Roman" w:hAnsi="Times New Roman" w:cs="Times New Roman"/>
          <w:sz w:val="20"/>
          <w:szCs w:val="20"/>
          <w:lang w:val="en-US"/>
        </w:rPr>
        <w:t xml:space="preserve">United Nations </w:t>
      </w:r>
      <w:r w:rsidRPr="004338C8">
        <w:rPr>
          <w:rFonts w:ascii="Times New Roman" w:hAnsi="Times New Roman" w:cs="Times New Roman"/>
          <w:sz w:val="20"/>
          <w:szCs w:val="20"/>
          <w:lang w:val="en-US"/>
        </w:rPr>
        <w:t xml:space="preserve">Convention </w:t>
      </w:r>
      <w:r>
        <w:rPr>
          <w:rFonts w:ascii="Times New Roman" w:hAnsi="Times New Roman" w:cs="Times New Roman"/>
          <w:sz w:val="20"/>
          <w:szCs w:val="20"/>
          <w:lang w:val="en-US"/>
        </w:rPr>
        <w:t xml:space="preserve">on the Law of the Sea (“hereinafter the Convention”) </w:t>
      </w:r>
      <w:r w:rsidRPr="004338C8">
        <w:rPr>
          <w:rFonts w:ascii="Times New Roman" w:hAnsi="Times New Roman" w:cs="Times New Roman"/>
          <w:sz w:val="20"/>
          <w:szCs w:val="20"/>
          <w:lang w:val="en-US"/>
        </w:rPr>
        <w:t>and applies to “</w:t>
      </w:r>
      <w:r w:rsidRPr="004338C8">
        <w:rPr>
          <w:rFonts w:ascii="Times New Roman" w:hAnsi="Times New Roman" w:cs="Times New Roman"/>
          <w:i/>
          <w:iCs/>
          <w:sz w:val="20"/>
          <w:szCs w:val="20"/>
          <w:lang w:val="en-US"/>
        </w:rPr>
        <w:t>all installations in the Area used in connection with activities in the Area</w:t>
      </w:r>
      <w:r w:rsidRPr="004338C8">
        <w:rPr>
          <w:rFonts w:ascii="Times New Roman" w:hAnsi="Times New Roman" w:cs="Times New Roman"/>
          <w:sz w:val="20"/>
          <w:szCs w:val="20"/>
          <w:lang w:val="en-US"/>
        </w:rPr>
        <w:t xml:space="preserve">”. </w:t>
      </w:r>
      <w:r w:rsidRPr="007260ED">
        <w:rPr>
          <w:rFonts w:ascii="Times New Roman" w:eastAsia="Arial" w:hAnsi="Times New Roman" w:cs="Times New Roman"/>
          <w:color w:val="000000" w:themeColor="text1"/>
          <w:sz w:val="20"/>
          <w:szCs w:val="20"/>
          <w:lang w:val="en-JM"/>
        </w:rPr>
        <w:t xml:space="preserve">The </w:t>
      </w:r>
      <w:r>
        <w:rPr>
          <w:rFonts w:ascii="Times New Roman" w:eastAsia="Arial" w:hAnsi="Times New Roman" w:cs="Times New Roman"/>
          <w:color w:val="000000" w:themeColor="text1"/>
          <w:sz w:val="20"/>
          <w:szCs w:val="20"/>
          <w:lang w:val="en-JM"/>
        </w:rPr>
        <w:t>competence of</w:t>
      </w:r>
      <w:r w:rsidRPr="007260ED">
        <w:rPr>
          <w:rFonts w:ascii="Times New Roman" w:eastAsia="Arial" w:hAnsi="Times New Roman" w:cs="Times New Roman"/>
          <w:color w:val="000000" w:themeColor="text1"/>
          <w:sz w:val="20"/>
          <w:szCs w:val="20"/>
          <w:lang w:val="en-JM"/>
        </w:rPr>
        <w:t xml:space="preserve"> the Council to establish subsidiary bodies is laid out in </w:t>
      </w:r>
      <w:r>
        <w:rPr>
          <w:rFonts w:ascii="Times New Roman" w:eastAsia="Arial" w:hAnsi="Times New Roman" w:cs="Times New Roman"/>
          <w:color w:val="000000" w:themeColor="text1"/>
          <w:sz w:val="20"/>
          <w:szCs w:val="20"/>
          <w:lang w:val="en-JM"/>
        </w:rPr>
        <w:t xml:space="preserve">the Convention and in </w:t>
      </w:r>
      <w:r w:rsidRPr="007260ED">
        <w:rPr>
          <w:rFonts w:ascii="Times New Roman" w:eastAsia="Arial" w:hAnsi="Times New Roman" w:cs="Times New Roman"/>
          <w:color w:val="000000" w:themeColor="text1"/>
          <w:sz w:val="20"/>
          <w:szCs w:val="20"/>
          <w:lang w:val="en-JM"/>
        </w:rPr>
        <w:t xml:space="preserve">Rule 71 </w:t>
      </w:r>
      <w:r w:rsidRPr="00883D9D">
        <w:rPr>
          <w:rFonts w:ascii="Times New Roman" w:eastAsia="Arial" w:hAnsi="Times New Roman" w:cs="Times New Roman"/>
          <w:color w:val="000000" w:themeColor="text1"/>
          <w:sz w:val="20"/>
          <w:szCs w:val="20"/>
          <w:lang w:val="en-JM"/>
        </w:rPr>
        <w:t>of the Rules of Procedure of the Council</w:t>
      </w:r>
      <w:r>
        <w:rPr>
          <w:rFonts w:ascii="Times New Roman" w:eastAsia="Arial" w:hAnsi="Times New Roman" w:cs="Times New Roman"/>
          <w:color w:val="000000" w:themeColor="text1"/>
          <w:sz w:val="20"/>
          <w:szCs w:val="20"/>
          <w:lang w:val="en-JM"/>
        </w:rPr>
        <w:t xml:space="preserve">. </w:t>
      </w:r>
    </w:p>
    <w:p w14:paraId="1997CA22" w14:textId="77777777" w:rsidR="00644E1D" w:rsidRDefault="00644E1D" w:rsidP="005F5E9F">
      <w:pPr>
        <w:rPr>
          <w:rFonts w:ascii="Times New Roman" w:eastAsia="Arial" w:hAnsi="Times New Roman" w:cs="Times New Roman"/>
          <w:color w:val="000000" w:themeColor="text1"/>
          <w:sz w:val="20"/>
          <w:szCs w:val="20"/>
          <w:lang w:val="en-JM"/>
        </w:rPr>
      </w:pPr>
      <w:r>
        <w:rPr>
          <w:rFonts w:ascii="Times New Roman" w:eastAsia="Arial" w:hAnsi="Times New Roman" w:cs="Times New Roman"/>
          <w:color w:val="000000" w:themeColor="text1"/>
          <w:sz w:val="20"/>
          <w:szCs w:val="20"/>
          <w:lang w:val="en-JM"/>
        </w:rPr>
        <w:t>4.</w:t>
      </w:r>
      <w:r>
        <w:rPr>
          <w:rFonts w:ascii="Times New Roman" w:eastAsia="Arial" w:hAnsi="Times New Roman" w:cs="Times New Roman"/>
          <w:color w:val="000000" w:themeColor="text1"/>
          <w:sz w:val="20"/>
          <w:szCs w:val="20"/>
          <w:lang w:val="en-JM"/>
        </w:rPr>
        <w:tab/>
        <w:t>Under article 162 (2)(d) of the Convention, the Council is required to “</w:t>
      </w:r>
      <w:r w:rsidRPr="00E850F1">
        <w:rPr>
          <w:rFonts w:ascii="Times New Roman" w:eastAsia="Arial" w:hAnsi="Times New Roman" w:cs="Times New Roman"/>
          <w:i/>
          <w:iCs/>
          <w:color w:val="000000" w:themeColor="text1"/>
          <w:sz w:val="20"/>
          <w:szCs w:val="20"/>
          <w:lang w:val="en-JM"/>
        </w:rPr>
        <w:t>establish, as appropriate, and with due regard to economy and efficiency, such subsidiary organs as it finds necessary for the exercise of its functions in accordance with this Part. In the composition of subsidiary organs, emphasis shall be placed on the need for members qualified and competent in relevant technical matters dealt with by those organs provided that due account shall be taken of the principle of equitable geographical distribution and of special interests</w:t>
      </w:r>
      <w:r>
        <w:rPr>
          <w:rFonts w:ascii="Times New Roman" w:eastAsia="Arial" w:hAnsi="Times New Roman" w:cs="Times New Roman"/>
          <w:color w:val="000000" w:themeColor="text1"/>
          <w:sz w:val="20"/>
          <w:szCs w:val="20"/>
          <w:lang w:val="en-JM"/>
        </w:rPr>
        <w:t>”. This is repeated in Rules 71 and 72 of the Rules of Procedure of the Council.</w:t>
      </w:r>
    </w:p>
    <w:p w14:paraId="6F323265" w14:textId="13D68D80" w:rsidR="00644E1D" w:rsidRPr="00E850F1" w:rsidRDefault="00644E1D" w:rsidP="005F5E9F">
      <w:pPr>
        <w:rPr>
          <w:rFonts w:ascii="Times New Roman" w:hAnsi="Times New Roman" w:cs="Times New Roman"/>
          <w:i/>
          <w:iCs/>
          <w:sz w:val="20"/>
          <w:szCs w:val="20"/>
          <w:lang w:val="en-US"/>
        </w:rPr>
      </w:pPr>
      <w:r>
        <w:rPr>
          <w:rFonts w:ascii="Times New Roman" w:eastAsia="Arial" w:hAnsi="Times New Roman" w:cs="Times New Roman"/>
          <w:color w:val="000000" w:themeColor="text1"/>
          <w:sz w:val="20"/>
          <w:szCs w:val="20"/>
          <w:lang w:val="en-JM"/>
        </w:rPr>
        <w:t>5.</w:t>
      </w:r>
      <w:r>
        <w:rPr>
          <w:rFonts w:ascii="Times New Roman" w:eastAsia="Arial" w:hAnsi="Times New Roman" w:cs="Times New Roman"/>
          <w:color w:val="000000" w:themeColor="text1"/>
          <w:sz w:val="20"/>
          <w:szCs w:val="20"/>
          <w:lang w:val="en-JM"/>
        </w:rPr>
        <w:tab/>
        <w:t>In addition, article 162 (2) (z) of the Convention empowers the Council to “</w:t>
      </w:r>
      <w:r w:rsidRPr="00E850F1">
        <w:rPr>
          <w:rFonts w:ascii="Times New Roman" w:eastAsia="Arial" w:hAnsi="Times New Roman" w:cs="Times New Roman"/>
          <w:i/>
          <w:iCs/>
          <w:color w:val="000000" w:themeColor="text1"/>
          <w:sz w:val="20"/>
          <w:szCs w:val="20"/>
          <w:lang w:val="en-JM"/>
        </w:rPr>
        <w:t>establish appropriate mechanisms for directing and supervising a staff of inspectors who shall inspect activities in the Area to determine whether this Part, the rules, regulations and procedures of the Authority, and the terms and conditions of any contract with the Authority are being complied with.</w:t>
      </w:r>
      <w:r>
        <w:rPr>
          <w:rFonts w:ascii="Times New Roman" w:eastAsia="Arial" w:hAnsi="Times New Roman" w:cs="Times New Roman"/>
          <w:color w:val="000000" w:themeColor="text1"/>
          <w:sz w:val="20"/>
          <w:szCs w:val="20"/>
          <w:lang w:val="en-JM"/>
        </w:rPr>
        <w:t xml:space="preserve">” </w:t>
      </w:r>
      <w:r w:rsidRPr="00E850F1">
        <w:rPr>
          <w:rFonts w:ascii="Times New Roman" w:hAnsi="Times New Roman" w:cs="Times New Roman"/>
          <w:sz w:val="20"/>
          <w:szCs w:val="20"/>
          <w:lang w:val="en-JM"/>
        </w:rPr>
        <w:t>While the Council</w:t>
      </w:r>
      <w:r w:rsidRPr="004338C8">
        <w:rPr>
          <w:rFonts w:ascii="Times New Roman" w:hAnsi="Times New Roman" w:cs="Times New Roman"/>
          <w:sz w:val="20"/>
          <w:szCs w:val="20"/>
          <w:lang w:val="en-US"/>
        </w:rPr>
        <w:t xml:space="preserve"> is required to design and put in place an appropriate inspection mechanism, </w:t>
      </w:r>
      <w:r>
        <w:rPr>
          <w:rFonts w:ascii="Times New Roman" w:hAnsi="Times New Roman" w:cs="Times New Roman"/>
          <w:sz w:val="20"/>
          <w:szCs w:val="20"/>
          <w:lang w:val="en-US"/>
        </w:rPr>
        <w:t>t</w:t>
      </w:r>
      <w:r w:rsidRPr="004338C8">
        <w:rPr>
          <w:rFonts w:ascii="Times New Roman" w:hAnsi="Times New Roman" w:cs="Times New Roman"/>
          <w:sz w:val="20"/>
          <w:szCs w:val="20"/>
          <w:lang w:val="en-US"/>
        </w:rPr>
        <w:t>he Legal and Technical Commission is required to make recommendations to the Council regarding the supervision and direction of such staff</w:t>
      </w:r>
      <w:r>
        <w:rPr>
          <w:rFonts w:ascii="Times New Roman" w:hAnsi="Times New Roman" w:cs="Times New Roman"/>
          <w:sz w:val="20"/>
          <w:szCs w:val="20"/>
          <w:lang w:val="en-US"/>
        </w:rPr>
        <w:t>.</w:t>
      </w:r>
    </w:p>
    <w:p w14:paraId="73C447CC" w14:textId="77777777" w:rsidR="00644E1D" w:rsidRDefault="00644E1D" w:rsidP="005F5E9F">
      <w:pPr>
        <w:rPr>
          <w:rFonts w:ascii="Times New Roman" w:eastAsia="Arial" w:hAnsi="Times New Roman" w:cs="Times New Roman"/>
          <w:color w:val="000000" w:themeColor="text1"/>
          <w:sz w:val="20"/>
          <w:szCs w:val="20"/>
          <w:lang w:val="en-JM"/>
        </w:rPr>
      </w:pPr>
      <w:r>
        <w:rPr>
          <w:rFonts w:ascii="Times New Roman" w:eastAsia="Arial" w:hAnsi="Times New Roman" w:cs="Times New Roman"/>
          <w:color w:val="000000" w:themeColor="text1"/>
          <w:sz w:val="20"/>
          <w:szCs w:val="20"/>
          <w:lang w:val="en-JM"/>
        </w:rPr>
        <w:t>6.</w:t>
      </w:r>
      <w:r>
        <w:rPr>
          <w:rFonts w:ascii="Times New Roman" w:eastAsia="Arial" w:hAnsi="Times New Roman" w:cs="Times New Roman"/>
          <w:color w:val="000000" w:themeColor="text1"/>
          <w:sz w:val="20"/>
          <w:szCs w:val="20"/>
          <w:lang w:val="en-JM"/>
        </w:rPr>
        <w:tab/>
        <w:t>Moreover, article 162 (2) of the Convention recognizes to the Council the power to establish specific policies to be pursued by the Authority on any question or matter within the competence of the Authority and such policies include strategies on ICE matters (or compliance strategy as referred below).</w:t>
      </w:r>
    </w:p>
    <w:p w14:paraId="4C0347BB" w14:textId="77777777" w:rsidR="00644E1D" w:rsidRDefault="00644E1D" w:rsidP="005F5E9F">
      <w:pPr>
        <w:rPr>
          <w:rFonts w:ascii="Times New Roman" w:eastAsia="Arial" w:hAnsi="Times New Roman" w:cs="Times New Roman"/>
          <w:color w:val="000000" w:themeColor="text1"/>
          <w:sz w:val="20"/>
          <w:szCs w:val="20"/>
          <w:lang w:val="en-JM"/>
        </w:rPr>
      </w:pPr>
      <w:r>
        <w:rPr>
          <w:rFonts w:ascii="Times New Roman" w:eastAsia="Arial" w:hAnsi="Times New Roman" w:cs="Times New Roman"/>
          <w:color w:val="000000" w:themeColor="text1"/>
          <w:sz w:val="20"/>
          <w:szCs w:val="20"/>
          <w:lang w:val="en-JM"/>
        </w:rPr>
        <w:t>7.</w:t>
      </w:r>
      <w:r>
        <w:rPr>
          <w:rFonts w:ascii="Times New Roman" w:eastAsia="Arial" w:hAnsi="Times New Roman" w:cs="Times New Roman"/>
          <w:color w:val="000000" w:themeColor="text1"/>
          <w:sz w:val="20"/>
          <w:szCs w:val="20"/>
          <w:lang w:val="en-JM"/>
        </w:rPr>
        <w:tab/>
      </w:r>
      <w:r w:rsidRPr="007260ED">
        <w:rPr>
          <w:rFonts w:ascii="Times New Roman" w:eastAsia="Arial" w:hAnsi="Times New Roman" w:cs="Times New Roman"/>
          <w:color w:val="000000" w:themeColor="text1"/>
          <w:sz w:val="20"/>
          <w:szCs w:val="20"/>
          <w:lang w:val="en-JM"/>
        </w:rPr>
        <w:t>On that basis, it is suggested to consider whether it would be more appropriate for a Council decision in that regard to establish the Compliance Committee, also considering the importance of ensuring that the Committee is set up to begin carrying out its functions</w:t>
      </w:r>
      <w:r>
        <w:rPr>
          <w:rFonts w:ascii="Times New Roman" w:eastAsia="Arial" w:hAnsi="Times New Roman" w:cs="Times New Roman"/>
          <w:color w:val="000000" w:themeColor="text1"/>
          <w:sz w:val="20"/>
          <w:szCs w:val="20"/>
          <w:lang w:val="en-JM"/>
        </w:rPr>
        <w:t>.</w:t>
      </w:r>
    </w:p>
    <w:p w14:paraId="34E3BD0E" w14:textId="77777777" w:rsidR="00644E1D" w:rsidRDefault="00644E1D" w:rsidP="005F5E9F">
      <w:pPr>
        <w:rPr>
          <w:rFonts w:ascii="Times New Roman" w:eastAsia="Arial" w:hAnsi="Times New Roman" w:cs="Times New Roman"/>
          <w:color w:val="000000" w:themeColor="text1"/>
          <w:sz w:val="20"/>
          <w:szCs w:val="20"/>
          <w:lang w:val="en-JM"/>
        </w:rPr>
      </w:pPr>
      <w:r>
        <w:rPr>
          <w:rFonts w:ascii="Times New Roman" w:eastAsia="Arial" w:hAnsi="Times New Roman" w:cs="Times New Roman"/>
          <w:color w:val="000000" w:themeColor="text1"/>
          <w:sz w:val="20"/>
          <w:szCs w:val="20"/>
          <w:lang w:val="en-JM"/>
        </w:rPr>
        <w:t>8.</w:t>
      </w:r>
      <w:r>
        <w:rPr>
          <w:rFonts w:ascii="Times New Roman" w:eastAsia="Arial" w:hAnsi="Times New Roman" w:cs="Times New Roman"/>
          <w:color w:val="000000" w:themeColor="text1"/>
          <w:sz w:val="20"/>
          <w:szCs w:val="20"/>
          <w:lang w:val="en-JM"/>
        </w:rPr>
        <w:tab/>
        <w:t xml:space="preserve">Discussion is in particular needed in respect of whether the powers and functions of the Compliance Committee is better placed in the draft Regulations (and that the decision solely focusses on the establishment of the </w:t>
      </w:r>
      <w:r>
        <w:rPr>
          <w:rFonts w:ascii="Times New Roman" w:eastAsia="Arial" w:hAnsi="Times New Roman" w:cs="Times New Roman"/>
          <w:color w:val="000000" w:themeColor="text1"/>
          <w:sz w:val="20"/>
          <w:szCs w:val="20"/>
          <w:lang w:val="en-JM"/>
        </w:rPr>
        <w:lastRenderedPageBreak/>
        <w:t>Compliance Committee and the procedure for election), or whether participants prefer to handle the powers and functions in the draft Decision. In that respect further discussion is also needed in respect of the interplay between the functions of the Legal and Technical Commission and the Compliance Committee.</w:t>
      </w:r>
    </w:p>
    <w:p w14:paraId="1FD8A00C" w14:textId="77777777" w:rsidR="00644E1D" w:rsidRDefault="00644E1D" w:rsidP="005F5E9F">
      <w:pPr>
        <w:rPr>
          <w:rFonts w:ascii="Times New Roman" w:eastAsia="Arial" w:hAnsi="Times New Roman" w:cs="Times New Roman"/>
          <w:color w:val="000000" w:themeColor="text1"/>
          <w:sz w:val="20"/>
          <w:szCs w:val="20"/>
          <w:lang w:val="en-JM"/>
        </w:rPr>
      </w:pPr>
      <w:r>
        <w:rPr>
          <w:rFonts w:ascii="Times New Roman" w:eastAsia="Arial" w:hAnsi="Times New Roman" w:cs="Times New Roman"/>
          <w:color w:val="000000" w:themeColor="text1"/>
          <w:sz w:val="20"/>
          <w:szCs w:val="20"/>
          <w:lang w:val="en-JM"/>
        </w:rPr>
        <w:t>9.</w:t>
      </w:r>
      <w:r>
        <w:rPr>
          <w:rFonts w:ascii="Times New Roman" w:eastAsia="Arial" w:hAnsi="Times New Roman" w:cs="Times New Roman"/>
          <w:color w:val="000000" w:themeColor="text1"/>
          <w:sz w:val="20"/>
          <w:szCs w:val="20"/>
          <w:lang w:val="en-JM"/>
        </w:rPr>
        <w:tab/>
        <w:t>The timing of establishment of the Compliance Committee, the functions of that Committee, the interplay with the mandates of the Legal and Technical Commission and then the distribution of elements between the DR 102 and 103, the draft decision of the Council on the establishment of the Compliance Committee and the content of the Rules of Procedure of the Compliance Committee depend on the finalization of the negotiations on these outstanding matters and what follows may need to be revisited in light of the consensus on the outstanding issues.</w:t>
      </w:r>
    </w:p>
    <w:p w14:paraId="5480BDA8" w14:textId="77777777" w:rsidR="00644E1D" w:rsidRDefault="00644E1D" w:rsidP="005F5E9F">
      <w:pPr>
        <w:rPr>
          <w:rFonts w:ascii="Times New Roman" w:hAnsi="Times New Roman" w:cs="Times New Roman"/>
          <w:b/>
          <w:bCs/>
          <w:lang w:val="en-US"/>
        </w:rPr>
      </w:pPr>
      <w:r>
        <w:rPr>
          <w:rFonts w:ascii="Times New Roman" w:hAnsi="Times New Roman" w:cs="Times New Roman"/>
          <w:b/>
          <w:bCs/>
          <w:lang w:val="en-US"/>
        </w:rPr>
        <w:br w:type="page"/>
      </w:r>
    </w:p>
    <w:p w14:paraId="69F8B2F1" w14:textId="77777777" w:rsidR="00644E1D" w:rsidRDefault="00644E1D" w:rsidP="005F5E9F">
      <w:pPr>
        <w:rPr>
          <w:rFonts w:ascii="Times New Roman" w:hAnsi="Times New Roman" w:cs="Times New Roman"/>
          <w:b/>
          <w:bCs/>
          <w:lang w:val="en-US"/>
        </w:rPr>
      </w:pPr>
      <w:r>
        <w:rPr>
          <w:rFonts w:ascii="Times New Roman" w:hAnsi="Times New Roman" w:cs="Times New Roman"/>
          <w:b/>
          <w:bCs/>
          <w:lang w:val="en-US"/>
        </w:rPr>
        <w:lastRenderedPageBreak/>
        <w:t>Annex</w:t>
      </w:r>
    </w:p>
    <w:p w14:paraId="04F5AA63" w14:textId="77777777" w:rsidR="00644E1D" w:rsidRPr="007F51B9" w:rsidRDefault="00644E1D" w:rsidP="005F5E9F">
      <w:pPr>
        <w:rPr>
          <w:rFonts w:ascii="Times New Roman" w:hAnsi="Times New Roman" w:cs="Times New Roman"/>
          <w:b/>
          <w:bCs/>
          <w:lang w:val="en-US"/>
        </w:rPr>
      </w:pPr>
      <w:r>
        <w:rPr>
          <w:rFonts w:ascii="Times New Roman" w:hAnsi="Times New Roman" w:cs="Times New Roman"/>
          <w:b/>
          <w:bCs/>
          <w:lang w:val="en-US"/>
        </w:rPr>
        <w:t>Draft decision of the Council of the International Seabed Authority relating to the establishment of a Compliance Committee</w:t>
      </w:r>
    </w:p>
    <w:p w14:paraId="5F963B7B" w14:textId="77777777" w:rsidR="00644E1D" w:rsidRPr="007F51B9" w:rsidRDefault="00644E1D" w:rsidP="005F5E9F">
      <w:pPr>
        <w:rPr>
          <w:rFonts w:ascii="Times New Roman" w:hAnsi="Times New Roman" w:cs="Times New Roman"/>
          <w:b/>
          <w:bCs/>
          <w:i/>
          <w:iCs/>
          <w:lang w:val="en-US"/>
        </w:rPr>
      </w:pPr>
    </w:p>
    <w:p w14:paraId="2174BB45" w14:textId="77777777" w:rsidR="00644E1D" w:rsidRDefault="00644E1D" w:rsidP="005F5E9F">
      <w:pPr>
        <w:rPr>
          <w:rFonts w:ascii="Times New Roman" w:hAnsi="Times New Roman" w:cs="Times New Roman"/>
          <w:i/>
          <w:iCs/>
          <w:sz w:val="20"/>
          <w:szCs w:val="20"/>
          <w:lang w:val="en-US"/>
        </w:rPr>
      </w:pPr>
      <w:r w:rsidRPr="007F51B9">
        <w:rPr>
          <w:rFonts w:ascii="Times New Roman" w:hAnsi="Times New Roman" w:cs="Times New Roman"/>
          <w:b/>
          <w:bCs/>
          <w:i/>
          <w:iCs/>
          <w:lang w:val="en-US"/>
        </w:rPr>
        <w:tab/>
      </w:r>
      <w:r w:rsidRPr="007F51B9">
        <w:rPr>
          <w:rFonts w:ascii="Times New Roman" w:hAnsi="Times New Roman" w:cs="Times New Roman"/>
          <w:i/>
          <w:iCs/>
          <w:sz w:val="20"/>
          <w:szCs w:val="20"/>
          <w:lang w:val="en-US"/>
        </w:rPr>
        <w:t xml:space="preserve">The Council of the International Seabed Authority, </w:t>
      </w:r>
    </w:p>
    <w:p w14:paraId="16411AE3" w14:textId="77777777" w:rsidR="00644E1D" w:rsidRPr="00E850F1" w:rsidRDefault="00644E1D" w:rsidP="005F5E9F">
      <w:pPr>
        <w:rPr>
          <w:rFonts w:ascii="Times New Roman" w:hAnsi="Times New Roman" w:cs="Times New Roman"/>
          <w:sz w:val="20"/>
          <w:szCs w:val="20"/>
          <w:lang w:val="en-US"/>
        </w:rPr>
      </w:pPr>
      <w:r>
        <w:rPr>
          <w:rFonts w:ascii="Times New Roman" w:hAnsi="Times New Roman" w:cs="Times New Roman"/>
          <w:i/>
          <w:iCs/>
          <w:sz w:val="20"/>
          <w:szCs w:val="20"/>
          <w:lang w:val="en-US"/>
        </w:rPr>
        <w:tab/>
        <w:t xml:space="preserve">Recalling </w:t>
      </w:r>
      <w:r w:rsidRPr="00E850F1">
        <w:rPr>
          <w:rFonts w:ascii="Times New Roman" w:hAnsi="Times New Roman" w:cs="Times New Roman"/>
          <w:sz w:val="20"/>
          <w:szCs w:val="20"/>
          <w:lang w:val="en-US"/>
        </w:rPr>
        <w:t xml:space="preserve">its competence to exercise control over activities in the Area </w:t>
      </w:r>
      <w:r>
        <w:rPr>
          <w:rFonts w:ascii="Times New Roman" w:hAnsi="Times New Roman" w:cs="Times New Roman"/>
          <w:sz w:val="20"/>
          <w:szCs w:val="20"/>
          <w:lang w:val="en-US"/>
        </w:rPr>
        <w:t xml:space="preserve">for the purpose of securing compliance </w:t>
      </w:r>
      <w:r w:rsidRPr="00E850F1">
        <w:rPr>
          <w:rFonts w:ascii="Times New Roman" w:hAnsi="Times New Roman" w:cs="Times New Roman"/>
          <w:sz w:val="20"/>
          <w:szCs w:val="20"/>
          <w:lang w:val="en-US"/>
        </w:rPr>
        <w:t xml:space="preserve">in accordance with article 153, paragraph 4, </w:t>
      </w:r>
      <w:r>
        <w:rPr>
          <w:rFonts w:ascii="Times New Roman" w:hAnsi="Times New Roman" w:cs="Times New Roman"/>
          <w:sz w:val="20"/>
          <w:szCs w:val="20"/>
          <w:lang w:val="en-US"/>
        </w:rPr>
        <w:t>of the United Nations Convention on the Law of the Sea (hereinafter the “Convention”),</w:t>
      </w:r>
      <w:r>
        <w:rPr>
          <w:rStyle w:val="Fodnotehenvisning"/>
          <w:rFonts w:ascii="Times New Roman" w:hAnsi="Times New Roman" w:cs="Times New Roman"/>
          <w:sz w:val="20"/>
          <w:szCs w:val="20"/>
          <w:lang w:val="en-US"/>
        </w:rPr>
        <w:footnoteReference w:id="1"/>
      </w:r>
      <w:r>
        <w:rPr>
          <w:rFonts w:ascii="Times New Roman" w:hAnsi="Times New Roman" w:cs="Times New Roman"/>
          <w:sz w:val="20"/>
          <w:szCs w:val="20"/>
          <w:lang w:val="en-US"/>
        </w:rPr>
        <w:t xml:space="preserve"> </w:t>
      </w:r>
      <w:r w:rsidRPr="00E850F1">
        <w:rPr>
          <w:rFonts w:ascii="Times New Roman" w:hAnsi="Times New Roman" w:cs="Times New Roman"/>
          <w:sz w:val="20"/>
          <w:szCs w:val="20"/>
          <w:lang w:val="en-US"/>
        </w:rPr>
        <w:t>and the rules, regulations and procedures of the Authority</w:t>
      </w:r>
      <w:r>
        <w:rPr>
          <w:rFonts w:ascii="Times New Roman" w:hAnsi="Times New Roman" w:cs="Times New Roman"/>
          <w:i/>
          <w:iCs/>
          <w:sz w:val="20"/>
          <w:szCs w:val="20"/>
          <w:lang w:val="en-US"/>
        </w:rPr>
        <w:t xml:space="preserve">, </w:t>
      </w:r>
      <w:r w:rsidRPr="00E850F1">
        <w:rPr>
          <w:rFonts w:ascii="Times New Roman" w:hAnsi="Times New Roman" w:cs="Times New Roman"/>
          <w:sz w:val="20"/>
          <w:szCs w:val="20"/>
          <w:lang w:val="en-US"/>
        </w:rPr>
        <w:t>and the right to inspect which is established in article 153 (5) of the Convention,</w:t>
      </w:r>
    </w:p>
    <w:p w14:paraId="5AB1419E" w14:textId="77777777" w:rsidR="00644E1D" w:rsidRDefault="00644E1D" w:rsidP="005F5E9F">
      <w:pPr>
        <w:ind w:firstLine="1304"/>
        <w:rPr>
          <w:rFonts w:ascii="Times New Roman" w:hAnsi="Times New Roman" w:cs="Times New Roman"/>
          <w:sz w:val="20"/>
          <w:szCs w:val="20"/>
          <w:lang w:val="en-US"/>
        </w:rPr>
      </w:pPr>
      <w:r>
        <w:rPr>
          <w:rFonts w:ascii="Times New Roman" w:hAnsi="Times New Roman" w:cs="Times New Roman"/>
          <w:i/>
          <w:iCs/>
          <w:sz w:val="20"/>
          <w:szCs w:val="20"/>
          <w:lang w:val="en-US"/>
        </w:rPr>
        <w:t xml:space="preserve">Recalling also </w:t>
      </w:r>
      <w:r w:rsidRPr="008141CE">
        <w:rPr>
          <w:rFonts w:ascii="Times New Roman" w:hAnsi="Times New Roman" w:cs="Times New Roman"/>
          <w:sz w:val="20"/>
          <w:szCs w:val="20"/>
          <w:lang w:val="en-US"/>
        </w:rPr>
        <w:t>that pursuant to article</w:t>
      </w:r>
      <w:r>
        <w:rPr>
          <w:rFonts w:ascii="Times New Roman" w:hAnsi="Times New Roman" w:cs="Times New Roman"/>
          <w:sz w:val="20"/>
          <w:szCs w:val="20"/>
          <w:lang w:val="en-US"/>
        </w:rPr>
        <w:t>s 158(3) and</w:t>
      </w:r>
      <w:r>
        <w:rPr>
          <w:rFonts w:ascii="Times New Roman" w:hAnsi="Times New Roman" w:cs="Times New Roman"/>
          <w:i/>
          <w:iCs/>
          <w:sz w:val="20"/>
          <w:szCs w:val="20"/>
          <w:lang w:val="en-US"/>
        </w:rPr>
        <w:t xml:space="preserve"> </w:t>
      </w:r>
      <w:r>
        <w:rPr>
          <w:rFonts w:ascii="Times New Roman" w:hAnsi="Times New Roman" w:cs="Times New Roman"/>
          <w:sz w:val="20"/>
          <w:szCs w:val="20"/>
          <w:lang w:val="en-US"/>
        </w:rPr>
        <w:t>162 (2) (d) of the Convention the Council has the power to establish, as appropriate, and with due regard to economy and efficiency, such subsidiary organs as it finds necessary for the exercise of its functions in accordance with Part XI of the Convention,</w:t>
      </w:r>
    </w:p>
    <w:p w14:paraId="5D2F2B5B" w14:textId="77777777" w:rsidR="00644E1D" w:rsidRDefault="00644E1D" w:rsidP="005F5E9F">
      <w:pPr>
        <w:ind w:firstLine="1304"/>
        <w:rPr>
          <w:rFonts w:ascii="Times New Roman" w:hAnsi="Times New Roman" w:cs="Times New Roman"/>
          <w:sz w:val="20"/>
          <w:szCs w:val="20"/>
          <w:lang w:val="en-US"/>
        </w:rPr>
      </w:pPr>
      <w:r w:rsidRPr="00E850F1">
        <w:rPr>
          <w:rFonts w:ascii="Times New Roman" w:hAnsi="Times New Roman" w:cs="Times New Roman"/>
          <w:i/>
          <w:iCs/>
          <w:sz w:val="20"/>
          <w:szCs w:val="20"/>
          <w:lang w:val="en-US"/>
        </w:rPr>
        <w:t>Referring</w:t>
      </w:r>
      <w:r>
        <w:rPr>
          <w:rFonts w:ascii="Times New Roman" w:hAnsi="Times New Roman" w:cs="Times New Roman"/>
          <w:sz w:val="20"/>
          <w:szCs w:val="20"/>
          <w:lang w:val="en-US"/>
        </w:rPr>
        <w:t xml:space="preserve"> to its competence to establish appropriate mechanisms for directing and supervising a staff of inspectors as provided for in article 162 (2) (z) of the Convention,</w:t>
      </w:r>
    </w:p>
    <w:p w14:paraId="759F1D8B" w14:textId="77777777" w:rsidR="00644E1D" w:rsidRDefault="00644E1D" w:rsidP="005F5E9F">
      <w:pPr>
        <w:ind w:firstLine="1304"/>
        <w:rPr>
          <w:rFonts w:ascii="Times New Roman" w:hAnsi="Times New Roman" w:cs="Times New Roman"/>
          <w:sz w:val="20"/>
          <w:szCs w:val="20"/>
          <w:lang w:val="en-US"/>
        </w:rPr>
      </w:pPr>
      <w:r w:rsidRPr="000E3A32">
        <w:rPr>
          <w:rFonts w:ascii="Times New Roman" w:hAnsi="Times New Roman" w:cs="Times New Roman"/>
          <w:i/>
          <w:iCs/>
          <w:sz w:val="20"/>
          <w:szCs w:val="20"/>
          <w:lang w:val="en-US"/>
        </w:rPr>
        <w:t>Referring</w:t>
      </w:r>
      <w:r>
        <w:rPr>
          <w:rFonts w:ascii="Times New Roman" w:hAnsi="Times New Roman" w:cs="Times New Roman"/>
          <w:sz w:val="20"/>
          <w:szCs w:val="20"/>
          <w:lang w:val="en-US"/>
        </w:rPr>
        <w:t xml:space="preserve"> to the competence of the Legal and Technical Commission as provided for in article 165 (2) (c), (m) and (3) of the Convention,</w:t>
      </w:r>
    </w:p>
    <w:p w14:paraId="743D5561" w14:textId="77777777" w:rsidR="00644E1D" w:rsidRPr="00684FA0" w:rsidRDefault="00644E1D" w:rsidP="005F5E9F">
      <w:pPr>
        <w:ind w:firstLine="1304"/>
        <w:rPr>
          <w:rFonts w:ascii="Times New Roman" w:hAnsi="Times New Roman" w:cs="Times New Roman"/>
          <w:sz w:val="20"/>
          <w:szCs w:val="20"/>
          <w:lang w:val="en-US"/>
        </w:rPr>
      </w:pPr>
      <w:r w:rsidRPr="00684FA0">
        <w:rPr>
          <w:rFonts w:ascii="Times New Roman" w:hAnsi="Times New Roman" w:cs="Times New Roman"/>
          <w:sz w:val="20"/>
          <w:szCs w:val="20"/>
          <w:lang w:val="en-US"/>
        </w:rPr>
        <w:t>1.</w:t>
      </w:r>
      <w:r>
        <w:rPr>
          <w:rFonts w:ascii="Times New Roman" w:hAnsi="Times New Roman" w:cs="Times New Roman"/>
          <w:i/>
          <w:iCs/>
          <w:sz w:val="20"/>
          <w:szCs w:val="20"/>
          <w:lang w:val="en-US"/>
        </w:rPr>
        <w:t xml:space="preserve"> </w:t>
      </w:r>
      <w:r w:rsidRPr="00684FA0">
        <w:rPr>
          <w:rFonts w:ascii="Times New Roman" w:hAnsi="Times New Roman" w:cs="Times New Roman"/>
          <w:i/>
          <w:iCs/>
          <w:sz w:val="20"/>
          <w:szCs w:val="20"/>
          <w:lang w:val="en-US"/>
        </w:rPr>
        <w:t>Decides</w:t>
      </w:r>
      <w:r w:rsidRPr="00684FA0">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that a Compliance Committee [shall be]/[hereby is] established </w:t>
      </w:r>
      <w:r w:rsidRPr="00684FA0">
        <w:rPr>
          <w:rFonts w:ascii="Times New Roman" w:hAnsi="Times New Roman" w:cs="Times New Roman"/>
          <w:sz w:val="20"/>
          <w:szCs w:val="20"/>
          <w:lang w:val="en-US"/>
        </w:rPr>
        <w:t xml:space="preserve"> (“the Committee”) as a subsidiary organ of the Council to assist the Council in carrying out its responsibility to exercise control over activities in the Area</w:t>
      </w:r>
      <w:r>
        <w:rPr>
          <w:rFonts w:ascii="Times New Roman" w:hAnsi="Times New Roman" w:cs="Times New Roman"/>
          <w:sz w:val="20"/>
          <w:szCs w:val="20"/>
          <w:lang w:val="en-US"/>
        </w:rPr>
        <w:t xml:space="preserve"> for the purpose of securing compliance</w:t>
      </w:r>
      <w:r w:rsidRPr="00684FA0">
        <w:rPr>
          <w:rFonts w:ascii="Times New Roman" w:hAnsi="Times New Roman" w:cs="Times New Roman"/>
          <w:sz w:val="20"/>
          <w:szCs w:val="20"/>
          <w:lang w:val="en-US"/>
        </w:rPr>
        <w:t xml:space="preserve"> as provided for under Part XI of the Convention.</w:t>
      </w:r>
    </w:p>
    <w:p w14:paraId="7F355BA0" w14:textId="7D6824B5" w:rsidR="00644E1D" w:rsidRPr="00213F1E" w:rsidRDefault="00644E1D" w:rsidP="005F5E9F">
      <w:pPr>
        <w:ind w:firstLine="1304"/>
        <w:rPr>
          <w:rFonts w:ascii="Times New Roman" w:hAnsi="Times New Roman" w:cs="Times New Roman"/>
          <w:sz w:val="20"/>
          <w:szCs w:val="20"/>
          <w:lang w:val="en-US"/>
        </w:rPr>
      </w:pPr>
      <w:r w:rsidRPr="00684FA0">
        <w:rPr>
          <w:rFonts w:ascii="Times New Roman" w:hAnsi="Times New Roman" w:cs="Times New Roman"/>
          <w:sz w:val="20"/>
          <w:szCs w:val="20"/>
          <w:lang w:val="en-US"/>
        </w:rPr>
        <w:t>3.</w:t>
      </w:r>
      <w:r>
        <w:rPr>
          <w:rFonts w:ascii="Times New Roman" w:hAnsi="Times New Roman" w:cs="Times New Roman"/>
          <w:i/>
          <w:iCs/>
          <w:sz w:val="20"/>
          <w:szCs w:val="20"/>
          <w:lang w:val="en-US"/>
        </w:rPr>
        <w:t xml:space="preserve"> [</w:t>
      </w:r>
      <w:r w:rsidRPr="00213F1E">
        <w:rPr>
          <w:rFonts w:ascii="Times New Roman" w:hAnsi="Times New Roman" w:cs="Times New Roman"/>
          <w:i/>
          <w:iCs/>
          <w:sz w:val="20"/>
          <w:szCs w:val="20"/>
          <w:lang w:val="en-US"/>
        </w:rPr>
        <w:t>Decides</w:t>
      </w:r>
      <w:r w:rsidRPr="00213F1E">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that the Committee shall assist </w:t>
      </w:r>
      <w:r w:rsidRPr="00213F1E">
        <w:rPr>
          <w:rFonts w:ascii="Times New Roman" w:hAnsi="Times New Roman" w:cs="Times New Roman"/>
          <w:sz w:val="20"/>
          <w:szCs w:val="20"/>
          <w:lang w:val="en-US"/>
        </w:rPr>
        <w:t>the Council to ensure compliance with</w:t>
      </w:r>
      <w:r>
        <w:rPr>
          <w:rFonts w:ascii="Times New Roman" w:hAnsi="Times New Roman" w:cs="Times New Roman"/>
          <w:sz w:val="20"/>
          <w:szCs w:val="20"/>
          <w:lang w:val="en-US"/>
        </w:rPr>
        <w:t xml:space="preserve"> and enforcement of</w:t>
      </w:r>
      <w:r w:rsidRPr="00213F1E">
        <w:rPr>
          <w:rFonts w:ascii="Times New Roman" w:hAnsi="Times New Roman" w:cs="Times New Roman"/>
          <w:sz w:val="20"/>
          <w:szCs w:val="20"/>
          <w:lang w:val="en-US"/>
        </w:rPr>
        <w:t xml:space="preserve"> the rules, regulations and procedures of the Authority</w:t>
      </w:r>
      <w:r>
        <w:rPr>
          <w:rFonts w:ascii="Times New Roman" w:hAnsi="Times New Roman" w:cs="Times New Roman"/>
          <w:sz w:val="20"/>
          <w:szCs w:val="20"/>
          <w:lang w:val="en-US"/>
        </w:rPr>
        <w:t xml:space="preserve"> as well as the Exploration and Exploitation Contracts,</w:t>
      </w:r>
      <w:r w:rsidRPr="00213F1E">
        <w:rPr>
          <w:rFonts w:ascii="Times New Roman" w:hAnsi="Times New Roman" w:cs="Times New Roman"/>
          <w:sz w:val="20"/>
          <w:szCs w:val="20"/>
          <w:lang w:val="en-US"/>
        </w:rPr>
        <w:t xml:space="preserve">, </w:t>
      </w:r>
      <w:r>
        <w:rPr>
          <w:rFonts w:ascii="Times New Roman" w:hAnsi="Times New Roman" w:cs="Times New Roman"/>
          <w:sz w:val="20"/>
          <w:szCs w:val="20"/>
          <w:lang w:val="en-US"/>
        </w:rPr>
        <w:t>through</w:t>
      </w:r>
      <w:r w:rsidRPr="00213F1E">
        <w:rPr>
          <w:rFonts w:ascii="Times New Roman" w:hAnsi="Times New Roman" w:cs="Times New Roman"/>
          <w:sz w:val="20"/>
          <w:szCs w:val="20"/>
          <w:lang w:val="en-US"/>
        </w:rPr>
        <w:t xml:space="preserve">: </w:t>
      </w:r>
    </w:p>
    <w:p w14:paraId="3D090189" w14:textId="77777777" w:rsidR="00644E1D" w:rsidRDefault="00644E1D" w:rsidP="005F5E9F">
      <w:pPr>
        <w:ind w:firstLine="1080"/>
        <w:rPr>
          <w:rFonts w:ascii="Times New Roman" w:hAnsi="Times New Roman" w:cs="Times New Roman"/>
          <w:sz w:val="20"/>
          <w:szCs w:val="20"/>
          <w:lang w:val="en-US"/>
        </w:rPr>
      </w:pPr>
      <w:r>
        <w:rPr>
          <w:rFonts w:ascii="Times New Roman" w:hAnsi="Times New Roman" w:cs="Times New Roman"/>
          <w:sz w:val="20"/>
          <w:szCs w:val="20"/>
          <w:lang w:val="en-US"/>
        </w:rPr>
        <w:t xml:space="preserve">(a) </w:t>
      </w:r>
      <w:r w:rsidRPr="00BC438D">
        <w:rPr>
          <w:rFonts w:ascii="Times New Roman" w:hAnsi="Times New Roman" w:cs="Times New Roman"/>
          <w:sz w:val="20"/>
          <w:szCs w:val="20"/>
          <w:lang w:val="en-US"/>
        </w:rPr>
        <w:t>development of the Authority’s Compliance Strategy for the Council’s approval</w:t>
      </w:r>
      <w:r>
        <w:rPr>
          <w:rFonts w:ascii="Times New Roman" w:hAnsi="Times New Roman" w:cs="Times New Roman"/>
          <w:sz w:val="20"/>
          <w:szCs w:val="20"/>
          <w:lang w:val="en-US"/>
        </w:rPr>
        <w:t>;</w:t>
      </w:r>
    </w:p>
    <w:p w14:paraId="1D8CBAB7" w14:textId="77777777" w:rsidR="00644E1D" w:rsidRDefault="00644E1D" w:rsidP="005F5E9F">
      <w:pPr>
        <w:ind w:firstLine="1080"/>
        <w:rPr>
          <w:rFonts w:ascii="Times New Roman" w:hAnsi="Times New Roman" w:cs="Times New Roman"/>
          <w:sz w:val="20"/>
          <w:szCs w:val="20"/>
          <w:lang w:val="en-US"/>
        </w:rPr>
      </w:pPr>
      <w:r>
        <w:rPr>
          <w:rFonts w:ascii="Times New Roman" w:hAnsi="Times New Roman" w:cs="Times New Roman"/>
          <w:sz w:val="20"/>
          <w:szCs w:val="20"/>
          <w:lang w:val="en-US"/>
        </w:rPr>
        <w:t xml:space="preserve">(b) </w:t>
      </w:r>
      <w:r w:rsidRPr="00BC438D">
        <w:rPr>
          <w:rFonts w:ascii="Times New Roman" w:hAnsi="Times New Roman" w:cs="Times New Roman"/>
          <w:sz w:val="20"/>
          <w:szCs w:val="20"/>
          <w:lang w:val="en-US"/>
        </w:rPr>
        <w:t>implementation and periodic review of the Authority’s Compliance Strategy</w:t>
      </w:r>
      <w:r>
        <w:rPr>
          <w:rFonts w:ascii="Times New Roman" w:hAnsi="Times New Roman" w:cs="Times New Roman"/>
          <w:sz w:val="20"/>
          <w:szCs w:val="20"/>
          <w:lang w:val="en-US"/>
        </w:rPr>
        <w:t>;</w:t>
      </w:r>
    </w:p>
    <w:p w14:paraId="3AE3BF12" w14:textId="77777777" w:rsidR="00644E1D" w:rsidRDefault="00644E1D" w:rsidP="005F5E9F">
      <w:pPr>
        <w:ind w:firstLine="1080"/>
        <w:rPr>
          <w:rFonts w:ascii="Times New Roman" w:hAnsi="Times New Roman" w:cs="Times New Roman"/>
          <w:sz w:val="20"/>
          <w:szCs w:val="20"/>
          <w:lang w:val="en-US"/>
        </w:rPr>
      </w:pPr>
      <w:r>
        <w:rPr>
          <w:rFonts w:ascii="Times New Roman" w:hAnsi="Times New Roman" w:cs="Times New Roman"/>
          <w:sz w:val="20"/>
          <w:szCs w:val="20"/>
          <w:lang w:val="en-US"/>
        </w:rPr>
        <w:t xml:space="preserve">(c) </w:t>
      </w:r>
      <w:r w:rsidRPr="00BC438D">
        <w:rPr>
          <w:rFonts w:ascii="Times New Roman" w:hAnsi="Times New Roman" w:cs="Times New Roman"/>
          <w:sz w:val="20"/>
          <w:szCs w:val="20"/>
          <w:lang w:val="en-US"/>
        </w:rPr>
        <w:t>monitoring compliance of individual contractors</w:t>
      </w:r>
      <w:r>
        <w:rPr>
          <w:rFonts w:ascii="Times New Roman" w:hAnsi="Times New Roman" w:cs="Times New Roman"/>
          <w:sz w:val="20"/>
          <w:szCs w:val="20"/>
          <w:lang w:val="en-US"/>
        </w:rPr>
        <w:t>;</w:t>
      </w:r>
    </w:p>
    <w:p w14:paraId="4E25DF0B" w14:textId="64C16EFE" w:rsidR="00644E1D" w:rsidRDefault="00644E1D" w:rsidP="005F5E9F">
      <w:pPr>
        <w:ind w:firstLine="1080"/>
        <w:rPr>
          <w:rFonts w:ascii="Times New Roman" w:hAnsi="Times New Roman" w:cs="Times New Roman"/>
          <w:sz w:val="20"/>
          <w:szCs w:val="20"/>
          <w:lang w:val="en-US"/>
        </w:rPr>
      </w:pPr>
      <w:r>
        <w:rPr>
          <w:rFonts w:ascii="Times New Roman" w:hAnsi="Times New Roman" w:cs="Times New Roman"/>
          <w:sz w:val="20"/>
          <w:szCs w:val="20"/>
          <w:lang w:val="en-US"/>
        </w:rPr>
        <w:t xml:space="preserve">(d) </w:t>
      </w:r>
      <w:r w:rsidRPr="00BC438D">
        <w:rPr>
          <w:rFonts w:ascii="Times New Roman" w:hAnsi="Times New Roman" w:cs="Times New Roman"/>
          <w:sz w:val="20"/>
          <w:szCs w:val="20"/>
          <w:lang w:val="en-US"/>
        </w:rPr>
        <w:t>making recommendations to the Council for enforcement actions</w:t>
      </w:r>
      <w:r>
        <w:rPr>
          <w:rFonts w:ascii="Times New Roman" w:hAnsi="Times New Roman" w:cs="Times New Roman"/>
          <w:sz w:val="20"/>
          <w:szCs w:val="20"/>
          <w:lang w:val="en-US"/>
        </w:rPr>
        <w:t>, or directly taking enforcement measures where mandated to do so by the rules, regulations and procedures of the Authority or by direction of the Council;</w:t>
      </w:r>
      <w:r w:rsidRPr="00BC438D">
        <w:rPr>
          <w:rFonts w:ascii="Times New Roman" w:hAnsi="Times New Roman" w:cs="Times New Roman"/>
          <w:sz w:val="20"/>
          <w:szCs w:val="20"/>
          <w:lang w:val="en-US"/>
        </w:rPr>
        <w:t xml:space="preserve"> and</w:t>
      </w:r>
    </w:p>
    <w:p w14:paraId="1DEA8A1B" w14:textId="3632AA0A" w:rsidR="00644E1D" w:rsidRDefault="00644E1D" w:rsidP="005F5E9F">
      <w:pPr>
        <w:ind w:firstLine="1080"/>
        <w:rPr>
          <w:rFonts w:ascii="Times New Roman" w:hAnsi="Times New Roman" w:cs="Times New Roman"/>
          <w:sz w:val="20"/>
          <w:szCs w:val="20"/>
          <w:lang w:val="en-US"/>
        </w:rPr>
      </w:pPr>
      <w:r>
        <w:rPr>
          <w:rFonts w:ascii="Times New Roman" w:hAnsi="Times New Roman" w:cs="Times New Roman"/>
          <w:sz w:val="20"/>
          <w:szCs w:val="20"/>
          <w:lang w:val="en-US"/>
        </w:rPr>
        <w:t xml:space="preserve">(e) </w:t>
      </w:r>
      <w:r w:rsidRPr="00317BE2">
        <w:rPr>
          <w:rFonts w:ascii="Times New Roman" w:hAnsi="Times New Roman" w:cs="Times New Roman"/>
          <w:sz w:val="20"/>
          <w:szCs w:val="20"/>
          <w:lang w:val="en-US"/>
        </w:rPr>
        <w:t>advising the Council on systemic compliance risks.</w:t>
      </w:r>
      <w:r>
        <w:rPr>
          <w:rFonts w:ascii="Times New Roman" w:hAnsi="Times New Roman" w:cs="Times New Roman"/>
          <w:sz w:val="20"/>
          <w:szCs w:val="20"/>
          <w:lang w:val="en-US"/>
        </w:rPr>
        <w:t>]</w:t>
      </w:r>
    </w:p>
    <w:p w14:paraId="49C0F0DF" w14:textId="238599CF" w:rsidR="00644E1D" w:rsidRDefault="00644E1D" w:rsidP="005F5E9F">
      <w:pPr>
        <w:rPr>
          <w:rFonts w:ascii="Times New Roman" w:hAnsi="Times New Roman" w:cs="Times New Roman"/>
          <w:sz w:val="20"/>
          <w:szCs w:val="20"/>
          <w:lang w:val="en-US"/>
        </w:rPr>
      </w:pPr>
    </w:p>
    <w:p w14:paraId="6678DD90" w14:textId="77777777" w:rsidR="00D66FDE" w:rsidRPr="00317BE2" w:rsidRDefault="00D66FDE" w:rsidP="005F5E9F">
      <w:pPr>
        <w:rPr>
          <w:rFonts w:ascii="Times New Roman" w:hAnsi="Times New Roman" w:cs="Times New Roman"/>
          <w:sz w:val="20"/>
          <w:szCs w:val="20"/>
          <w:lang w:val="en-US"/>
        </w:rPr>
      </w:pPr>
    </w:p>
    <w:p w14:paraId="5195EF92" w14:textId="77777777" w:rsidR="00D66FDE" w:rsidRDefault="00D66FDE" w:rsidP="005F5E9F">
      <w:pPr>
        <w:ind w:firstLine="1304"/>
        <w:rPr>
          <w:rFonts w:ascii="Times New Roman" w:hAnsi="Times New Roman" w:cs="Times New Roman"/>
          <w:sz w:val="20"/>
          <w:szCs w:val="20"/>
          <w:lang w:val="en-US"/>
        </w:rPr>
      </w:pPr>
    </w:p>
    <w:p w14:paraId="31992B22" w14:textId="77777777" w:rsidR="00D66FDE" w:rsidRDefault="00D66FDE" w:rsidP="005F5E9F">
      <w:pPr>
        <w:ind w:firstLine="1304"/>
        <w:rPr>
          <w:rFonts w:ascii="Times New Roman" w:hAnsi="Times New Roman" w:cs="Times New Roman"/>
          <w:sz w:val="20"/>
          <w:szCs w:val="20"/>
          <w:lang w:val="en-US"/>
        </w:rPr>
      </w:pPr>
    </w:p>
    <w:p w14:paraId="33873B21" w14:textId="77777777" w:rsidR="00D66FDE" w:rsidRDefault="00D66FDE" w:rsidP="005F5E9F">
      <w:pPr>
        <w:ind w:firstLine="1304"/>
        <w:rPr>
          <w:rFonts w:ascii="Times New Roman" w:hAnsi="Times New Roman" w:cs="Times New Roman"/>
          <w:sz w:val="20"/>
          <w:szCs w:val="20"/>
          <w:lang w:val="en-US"/>
        </w:rPr>
      </w:pPr>
    </w:p>
    <w:p w14:paraId="09E5644C" w14:textId="5C1883DA" w:rsidR="00644E1D" w:rsidRDefault="00A66CFB" w:rsidP="005F5E9F">
      <w:pPr>
        <w:ind w:firstLine="1304"/>
        <w:rPr>
          <w:rFonts w:ascii="Times New Roman" w:hAnsi="Times New Roman" w:cs="Times New Roman"/>
          <w:sz w:val="20"/>
          <w:szCs w:val="20"/>
          <w:lang w:val="en-US"/>
        </w:rPr>
      </w:pPr>
      <w:r>
        <w:rPr>
          <w:noProof/>
          <w:kern w:val="0"/>
          <w:lang w:eastAsia="da-DK"/>
        </w:rPr>
        <w:lastRenderedPageBreak/>
        <mc:AlternateContent>
          <mc:Choice Requires="wps">
            <w:drawing>
              <wp:anchor distT="45720" distB="45720" distL="114300" distR="114300" simplePos="0" relativeHeight="251659264" behindDoc="0" locked="0" layoutInCell="1" allowOverlap="1" wp14:anchorId="3BCAE420" wp14:editId="13BDDBDC">
                <wp:simplePos x="0" y="0"/>
                <wp:positionH relativeFrom="margin">
                  <wp:posOffset>5080</wp:posOffset>
                </wp:positionH>
                <wp:positionV relativeFrom="paragraph">
                  <wp:posOffset>0</wp:posOffset>
                </wp:positionV>
                <wp:extent cx="6086475" cy="1906905"/>
                <wp:effectExtent l="0" t="0" r="28575" b="17145"/>
                <wp:wrapSquare wrapText="bothSides"/>
                <wp:docPr id="1574804848"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906905"/>
                        </a:xfrm>
                        <a:prstGeom prst="rect">
                          <a:avLst/>
                        </a:prstGeom>
                        <a:solidFill>
                          <a:srgbClr val="FFFFFF"/>
                        </a:solidFill>
                        <a:ln w="9525">
                          <a:solidFill>
                            <a:srgbClr val="000000"/>
                          </a:solidFill>
                          <a:miter lim="800000"/>
                          <a:headEnd/>
                          <a:tailEnd/>
                        </a:ln>
                      </wps:spPr>
                      <wps:txbx>
                        <w:txbxContent>
                          <w:p w14:paraId="523F5CED" w14:textId="77777777" w:rsidR="00644E1D" w:rsidRPr="004D1480" w:rsidRDefault="00644E1D" w:rsidP="005F5E9F">
                            <w:pPr>
                              <w:rPr>
                                <w:rFonts w:ascii="Times New Roman" w:hAnsi="Times New Roman" w:cs="Times New Roman"/>
                                <w:sz w:val="20"/>
                                <w:szCs w:val="20"/>
                                <w:lang w:val="en-US"/>
                              </w:rPr>
                            </w:pPr>
                            <w:r w:rsidRPr="004D1480">
                              <w:rPr>
                                <w:rFonts w:ascii="Times New Roman" w:hAnsi="Times New Roman" w:cs="Times New Roman"/>
                                <w:sz w:val="20"/>
                                <w:szCs w:val="20"/>
                                <w:lang w:val="en-US"/>
                              </w:rPr>
                              <w:t xml:space="preserve">Comment: </w:t>
                            </w:r>
                          </w:p>
                          <w:p w14:paraId="63DCDE8A" w14:textId="1E353FFE" w:rsidR="00644E1D" w:rsidRPr="004D1480" w:rsidRDefault="00644E1D" w:rsidP="005F5E9F">
                            <w:pPr>
                              <w:pStyle w:val="Listeafsnit"/>
                              <w:numPr>
                                <w:ilvl w:val="0"/>
                                <w:numId w:val="8"/>
                              </w:numPr>
                              <w:rPr>
                                <w:rFonts w:ascii="Times New Roman" w:hAnsi="Times New Roman" w:cs="Times New Roman"/>
                                <w:sz w:val="20"/>
                                <w:szCs w:val="20"/>
                                <w:lang w:val="en-US"/>
                              </w:rPr>
                            </w:pPr>
                            <w:r w:rsidRPr="004D1480">
                              <w:rPr>
                                <w:rFonts w:ascii="Times New Roman" w:hAnsi="Times New Roman" w:cs="Times New Roman"/>
                                <w:sz w:val="20"/>
                                <w:szCs w:val="20"/>
                                <w:lang w:val="en-US"/>
                              </w:rPr>
                              <w:t xml:space="preserve">It has been suggested by some participants that this content on the </w:t>
                            </w:r>
                            <w:r>
                              <w:rPr>
                                <w:rFonts w:ascii="Times New Roman" w:hAnsi="Times New Roman" w:cs="Times New Roman"/>
                                <w:sz w:val="20"/>
                                <w:szCs w:val="20"/>
                                <w:lang w:val="en-US"/>
                              </w:rPr>
                              <w:t xml:space="preserve">powers and </w:t>
                            </w:r>
                            <w:r w:rsidRPr="004D1480">
                              <w:rPr>
                                <w:rFonts w:ascii="Times New Roman" w:hAnsi="Times New Roman" w:cs="Times New Roman"/>
                                <w:sz w:val="20"/>
                                <w:szCs w:val="20"/>
                                <w:lang w:val="en-US"/>
                              </w:rPr>
                              <w:t>function</w:t>
                            </w:r>
                            <w:r>
                              <w:rPr>
                                <w:rFonts w:ascii="Times New Roman" w:hAnsi="Times New Roman" w:cs="Times New Roman"/>
                                <w:sz w:val="20"/>
                                <w:szCs w:val="20"/>
                                <w:lang w:val="en-US"/>
                              </w:rPr>
                              <w:t>s</w:t>
                            </w:r>
                            <w:r w:rsidRPr="004D1480">
                              <w:rPr>
                                <w:rFonts w:ascii="Times New Roman" w:hAnsi="Times New Roman" w:cs="Times New Roman"/>
                                <w:sz w:val="20"/>
                                <w:szCs w:val="20"/>
                                <w:lang w:val="en-US"/>
                              </w:rPr>
                              <w:t xml:space="preserve"> should be moved to the draft Regulations, whilst others suggest to included it in the decision. </w:t>
                            </w:r>
                            <w:r w:rsidR="00D66FDE" w:rsidRPr="004D1480">
                              <w:rPr>
                                <w:rFonts w:ascii="Times New Roman" w:hAnsi="Times New Roman" w:cs="Times New Roman"/>
                                <w:sz w:val="20"/>
                                <w:szCs w:val="20"/>
                                <w:lang w:val="en-US"/>
                              </w:rPr>
                              <w:t>Therefore,</w:t>
                            </w:r>
                            <w:r w:rsidRPr="004D1480">
                              <w:rPr>
                                <w:rFonts w:ascii="Times New Roman" w:hAnsi="Times New Roman" w:cs="Times New Roman"/>
                                <w:sz w:val="20"/>
                                <w:szCs w:val="20"/>
                                <w:lang w:val="en-US"/>
                              </w:rPr>
                              <w:t xml:space="preserve"> it is placed in brackets. </w:t>
                            </w:r>
                            <w:r>
                              <w:rPr>
                                <w:rFonts w:ascii="Times New Roman" w:hAnsi="Times New Roman" w:cs="Times New Roman"/>
                                <w:sz w:val="20"/>
                                <w:szCs w:val="20"/>
                                <w:lang w:val="en-US"/>
                              </w:rPr>
                              <w:t xml:space="preserve">During the intersessional meeting on 25 November 2025, the participants supported the inclusion of the powers and functions in the draft decision and stressed the importance of the timing of the adoption of the decision, and that it should take place prior or at least at the same time as the adoption of the Regulations. The powers and functions of the Compliance Committee should be apparent at point of adoption of the decision and therefore many participants supported including relevant content within the decision itself, and it was highlighted that this does not preclude the possibility of including more details in the regulations or compliance strategy.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CAE420" id="_x0000_t202" coordsize="21600,21600" o:spt="202" path="m,l,21600r21600,l21600,xe">
                <v:stroke joinstyle="miter"/>
                <v:path gradientshapeok="t" o:connecttype="rect"/>
              </v:shapetype>
              <v:shape id="Tekstfelt 1" o:spid="_x0000_s1026" type="#_x0000_t202" style="position:absolute;left:0;text-align:left;margin-left:.4pt;margin-top:0;width:479.25pt;height:150.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">
                <v:textbox>
                  <w:txbxContent>
                    <w:p w14:paraId="523F5CED" w14:textId="77777777" w:rsidR="00644E1D" w:rsidRPr="004D1480" w:rsidRDefault="00644E1D" w:rsidP="005F5E9F">
                      <w:pPr>
                        <w:rPr>
                          <w:rFonts w:ascii="Times New Roman" w:hAnsi="Times New Roman" w:cs="Times New Roman"/>
                          <w:sz w:val="20"/>
                          <w:szCs w:val="20"/>
                          <w:lang w:val="en-US"/>
                        </w:rPr>
                      </w:pPr>
                      <w:r w:rsidRPr="004D1480">
                        <w:rPr>
                          <w:rFonts w:ascii="Times New Roman" w:hAnsi="Times New Roman" w:cs="Times New Roman"/>
                          <w:sz w:val="20"/>
                          <w:szCs w:val="20"/>
                          <w:lang w:val="en-US"/>
                        </w:rPr>
                        <w:t xml:space="preserve">Comment: </w:t>
                      </w:r>
                    </w:p>
                    <w:p w14:paraId="63DCDE8A" w14:textId="1E353FFE" w:rsidR="00644E1D" w:rsidRPr="004D1480" w:rsidRDefault="00644E1D" w:rsidP="005F5E9F">
                      <w:pPr>
                        <w:pStyle w:val="Listeafsnit"/>
                        <w:numPr>
                          <w:ilvl w:val="0"/>
                          <w:numId w:val="8"/>
                        </w:numPr>
                        <w:rPr>
                          <w:rFonts w:ascii="Times New Roman" w:hAnsi="Times New Roman" w:cs="Times New Roman"/>
                          <w:sz w:val="20"/>
                          <w:szCs w:val="20"/>
                          <w:lang w:val="en-US"/>
                        </w:rPr>
                      </w:pPr>
                      <w:r w:rsidRPr="004D1480">
                        <w:rPr>
                          <w:rFonts w:ascii="Times New Roman" w:hAnsi="Times New Roman" w:cs="Times New Roman"/>
                          <w:sz w:val="20"/>
                          <w:szCs w:val="20"/>
                          <w:lang w:val="en-US"/>
                        </w:rPr>
                        <w:t xml:space="preserve">It has been suggested by some participants that this content on the </w:t>
                      </w:r>
                      <w:r>
                        <w:rPr>
                          <w:rFonts w:ascii="Times New Roman" w:hAnsi="Times New Roman" w:cs="Times New Roman"/>
                          <w:sz w:val="20"/>
                          <w:szCs w:val="20"/>
                          <w:lang w:val="en-US"/>
                        </w:rPr>
                        <w:t xml:space="preserve">powers and </w:t>
                      </w:r>
                      <w:r w:rsidRPr="004D1480">
                        <w:rPr>
                          <w:rFonts w:ascii="Times New Roman" w:hAnsi="Times New Roman" w:cs="Times New Roman"/>
                          <w:sz w:val="20"/>
                          <w:szCs w:val="20"/>
                          <w:lang w:val="en-US"/>
                        </w:rPr>
                        <w:t>function</w:t>
                      </w:r>
                      <w:r>
                        <w:rPr>
                          <w:rFonts w:ascii="Times New Roman" w:hAnsi="Times New Roman" w:cs="Times New Roman"/>
                          <w:sz w:val="20"/>
                          <w:szCs w:val="20"/>
                          <w:lang w:val="en-US"/>
                        </w:rPr>
                        <w:t>s</w:t>
                      </w:r>
                      <w:r w:rsidRPr="004D1480">
                        <w:rPr>
                          <w:rFonts w:ascii="Times New Roman" w:hAnsi="Times New Roman" w:cs="Times New Roman"/>
                          <w:sz w:val="20"/>
                          <w:szCs w:val="20"/>
                          <w:lang w:val="en-US"/>
                        </w:rPr>
                        <w:t xml:space="preserve"> should be moved to the draft Regulations, whilst others suggest to included it in the decision. </w:t>
                      </w:r>
                      <w:r w:rsidR="00D66FDE" w:rsidRPr="004D1480">
                        <w:rPr>
                          <w:rFonts w:ascii="Times New Roman" w:hAnsi="Times New Roman" w:cs="Times New Roman"/>
                          <w:sz w:val="20"/>
                          <w:szCs w:val="20"/>
                          <w:lang w:val="en-US"/>
                        </w:rPr>
                        <w:t>Therefore,</w:t>
                      </w:r>
                      <w:r w:rsidRPr="004D1480">
                        <w:rPr>
                          <w:rFonts w:ascii="Times New Roman" w:hAnsi="Times New Roman" w:cs="Times New Roman"/>
                          <w:sz w:val="20"/>
                          <w:szCs w:val="20"/>
                          <w:lang w:val="en-US"/>
                        </w:rPr>
                        <w:t xml:space="preserve"> it is placed in brackets. </w:t>
                      </w:r>
                      <w:r>
                        <w:rPr>
                          <w:rFonts w:ascii="Times New Roman" w:hAnsi="Times New Roman" w:cs="Times New Roman"/>
                          <w:sz w:val="20"/>
                          <w:szCs w:val="20"/>
                          <w:lang w:val="en-US"/>
                        </w:rPr>
                        <w:t xml:space="preserve">During the intersessional meeting on 25 November 2025, the participants supported the inclusion of the powers and functions in the draft decision and stressed the importance of the timing of the adoption of the decision, and that it should take place prior or at least at the same time as the adoption of the Regulations. The powers and functions of the Compliance Committee should be apparent at point of adoption of the decision and therefore many participants supported including relevant content within the decision itself, and it was highlighted that this does not preclude the possibility of including more details in the regulations or compliance strategy. </w:t>
                      </w:r>
                    </w:p>
                  </w:txbxContent>
                </v:textbox>
                <w10:wrap type="square" anchorx="margin"/>
              </v:shape>
            </w:pict>
          </mc:Fallback>
        </mc:AlternateContent>
      </w:r>
      <w:r w:rsidR="00644E1D">
        <w:rPr>
          <w:rFonts w:ascii="Times New Roman" w:hAnsi="Times New Roman" w:cs="Times New Roman"/>
          <w:sz w:val="20"/>
          <w:szCs w:val="20"/>
          <w:lang w:val="en-US"/>
        </w:rPr>
        <w:t xml:space="preserve">4. </w:t>
      </w:r>
      <w:r w:rsidR="00644E1D" w:rsidRPr="00317BE2">
        <w:rPr>
          <w:rFonts w:ascii="Times New Roman" w:hAnsi="Times New Roman" w:cs="Times New Roman"/>
          <w:i/>
          <w:iCs/>
          <w:sz w:val="20"/>
          <w:szCs w:val="20"/>
          <w:lang w:val="en-US"/>
        </w:rPr>
        <w:t>Decides</w:t>
      </w:r>
      <w:r w:rsidR="00644E1D" w:rsidRPr="00317BE2">
        <w:rPr>
          <w:rFonts w:ascii="Times New Roman" w:hAnsi="Times New Roman" w:cs="Times New Roman"/>
          <w:sz w:val="20"/>
          <w:szCs w:val="20"/>
          <w:lang w:val="en-US"/>
        </w:rPr>
        <w:t xml:space="preserve"> </w:t>
      </w:r>
      <w:r w:rsidR="00644E1D">
        <w:rPr>
          <w:rFonts w:ascii="Times New Roman" w:hAnsi="Times New Roman" w:cs="Times New Roman"/>
          <w:sz w:val="20"/>
          <w:szCs w:val="20"/>
          <w:lang w:val="en-US"/>
        </w:rPr>
        <w:t xml:space="preserve">also </w:t>
      </w:r>
      <w:r w:rsidR="00644E1D" w:rsidRPr="00317BE2">
        <w:rPr>
          <w:rFonts w:ascii="Times New Roman" w:hAnsi="Times New Roman" w:cs="Times New Roman"/>
          <w:sz w:val="20"/>
          <w:szCs w:val="20"/>
          <w:lang w:val="en-US"/>
        </w:rPr>
        <w:t>that except where expressly mandated by the Council to take decisions,</w:t>
      </w:r>
      <w:r w:rsidR="00644E1D">
        <w:rPr>
          <w:rFonts w:ascii="Times New Roman" w:hAnsi="Times New Roman" w:cs="Times New Roman"/>
          <w:sz w:val="20"/>
          <w:szCs w:val="20"/>
          <w:lang w:val="en-US"/>
        </w:rPr>
        <w:t xml:space="preserve"> such as, but not limited to, through the assignment of the competence to take measures to the Committee under the rules, regulations and procedures as adopted by the Council,</w:t>
      </w:r>
      <w:r w:rsidR="00644E1D" w:rsidRPr="00317BE2">
        <w:rPr>
          <w:rFonts w:ascii="Times New Roman" w:hAnsi="Times New Roman" w:cs="Times New Roman"/>
          <w:sz w:val="20"/>
          <w:szCs w:val="20"/>
          <w:lang w:val="en-US"/>
        </w:rPr>
        <w:t xml:space="preserve"> the Committee shall have an advisory and recommendatory role.</w:t>
      </w:r>
    </w:p>
    <w:p w14:paraId="40455D73" w14:textId="77777777" w:rsidR="00644E1D" w:rsidRPr="00317BE2" w:rsidRDefault="00644E1D" w:rsidP="005F5E9F">
      <w:pPr>
        <w:ind w:firstLine="1304"/>
        <w:rPr>
          <w:rFonts w:ascii="Times New Roman" w:hAnsi="Times New Roman" w:cs="Times New Roman"/>
          <w:sz w:val="20"/>
          <w:szCs w:val="20"/>
          <w:lang w:val="en-US"/>
        </w:rPr>
      </w:pPr>
      <w:r>
        <w:rPr>
          <w:rFonts w:ascii="Times New Roman" w:hAnsi="Times New Roman" w:cs="Times New Roman"/>
          <w:sz w:val="20"/>
          <w:szCs w:val="20"/>
          <w:lang w:val="en-US"/>
        </w:rPr>
        <w:t xml:space="preserve">4. bis. </w:t>
      </w:r>
      <w:r w:rsidRPr="00463321">
        <w:rPr>
          <w:rFonts w:ascii="Times New Roman" w:hAnsi="Times New Roman" w:cs="Times New Roman"/>
          <w:i/>
          <w:iCs/>
          <w:sz w:val="20"/>
          <w:szCs w:val="20"/>
          <w:lang w:val="en-US"/>
        </w:rPr>
        <w:t xml:space="preserve">Instructs </w:t>
      </w:r>
      <w:r>
        <w:rPr>
          <w:rFonts w:ascii="Times New Roman" w:hAnsi="Times New Roman" w:cs="Times New Roman"/>
          <w:sz w:val="20"/>
          <w:szCs w:val="20"/>
          <w:lang w:val="en-US"/>
        </w:rPr>
        <w:t xml:space="preserve">that the Committee is accountable to the Council, shall follow any directive of the Council, and shall report at least annually to the Council. </w:t>
      </w:r>
    </w:p>
    <w:p w14:paraId="401ED434" w14:textId="77777777" w:rsidR="00644E1D" w:rsidRPr="00317BE2" w:rsidRDefault="00644E1D" w:rsidP="005F5E9F">
      <w:pPr>
        <w:ind w:firstLine="1304"/>
        <w:rPr>
          <w:rFonts w:ascii="Times New Roman" w:hAnsi="Times New Roman" w:cs="Times New Roman"/>
          <w:sz w:val="20"/>
          <w:szCs w:val="20"/>
          <w:lang w:val="en-US"/>
        </w:rPr>
      </w:pPr>
      <w:r>
        <w:rPr>
          <w:rFonts w:ascii="Times New Roman" w:hAnsi="Times New Roman" w:cs="Times New Roman"/>
          <w:i/>
          <w:iCs/>
          <w:sz w:val="20"/>
          <w:szCs w:val="20"/>
          <w:lang w:val="en-US"/>
        </w:rPr>
        <w:t xml:space="preserve">[5. </w:t>
      </w:r>
      <w:r w:rsidRPr="00317BE2">
        <w:rPr>
          <w:rFonts w:ascii="Times New Roman" w:hAnsi="Times New Roman" w:cs="Times New Roman"/>
          <w:i/>
          <w:iCs/>
          <w:sz w:val="20"/>
          <w:szCs w:val="20"/>
          <w:lang w:val="en-US"/>
        </w:rPr>
        <w:t>Further</w:t>
      </w:r>
      <w:r w:rsidRPr="00317BE2">
        <w:rPr>
          <w:rFonts w:ascii="Times New Roman" w:hAnsi="Times New Roman" w:cs="Times New Roman"/>
          <w:sz w:val="20"/>
          <w:szCs w:val="20"/>
          <w:lang w:val="en-US"/>
        </w:rPr>
        <w:t xml:space="preserve"> decides that the Committee is empowered to:</w:t>
      </w:r>
    </w:p>
    <w:p w14:paraId="79BF970B" w14:textId="77777777" w:rsidR="00644E1D" w:rsidRPr="00317BE2" w:rsidRDefault="00644E1D" w:rsidP="005F5E9F">
      <w:pPr>
        <w:ind w:firstLine="1080"/>
        <w:rPr>
          <w:rFonts w:ascii="Times New Roman" w:hAnsi="Times New Roman" w:cs="Times New Roman"/>
          <w:sz w:val="20"/>
          <w:szCs w:val="20"/>
          <w:lang w:val="en-US"/>
        </w:rPr>
      </w:pPr>
      <w:r w:rsidRPr="00317BE2">
        <w:rPr>
          <w:rFonts w:ascii="Times New Roman" w:hAnsi="Times New Roman" w:cs="Times New Roman"/>
          <w:sz w:val="20"/>
          <w:szCs w:val="20"/>
          <w:lang w:val="en-US"/>
        </w:rPr>
        <w:t>(a) request information from contractors, the Secretariat and other subsidiary organs to the Council;</w:t>
      </w:r>
    </w:p>
    <w:p w14:paraId="46127E20" w14:textId="77777777" w:rsidR="00644E1D" w:rsidRPr="00317BE2" w:rsidRDefault="00644E1D" w:rsidP="005F5E9F">
      <w:pPr>
        <w:ind w:left="1080"/>
        <w:rPr>
          <w:rFonts w:ascii="Times New Roman" w:hAnsi="Times New Roman" w:cs="Times New Roman"/>
          <w:sz w:val="20"/>
          <w:szCs w:val="20"/>
          <w:lang w:val="en-US"/>
        </w:rPr>
      </w:pPr>
      <w:r w:rsidRPr="00317BE2">
        <w:rPr>
          <w:rFonts w:ascii="Times New Roman" w:hAnsi="Times New Roman" w:cs="Times New Roman"/>
          <w:sz w:val="20"/>
          <w:szCs w:val="20"/>
          <w:lang w:val="en-US"/>
        </w:rPr>
        <w:t>(b) collaborate or share information as appropriate with other competent authorities, acting through the Secretary-General;</w:t>
      </w:r>
    </w:p>
    <w:p w14:paraId="4E7D78A7" w14:textId="77777777" w:rsidR="00644E1D" w:rsidRPr="00317BE2" w:rsidRDefault="00644E1D" w:rsidP="005F5E9F">
      <w:pPr>
        <w:ind w:firstLine="1080"/>
        <w:rPr>
          <w:rFonts w:ascii="Times New Roman" w:hAnsi="Times New Roman" w:cs="Times New Roman"/>
          <w:sz w:val="20"/>
          <w:szCs w:val="20"/>
          <w:lang w:val="en-US"/>
        </w:rPr>
      </w:pPr>
      <w:r w:rsidRPr="00317BE2">
        <w:rPr>
          <w:rFonts w:ascii="Times New Roman" w:hAnsi="Times New Roman" w:cs="Times New Roman"/>
          <w:sz w:val="20"/>
          <w:szCs w:val="20"/>
          <w:lang w:val="en-US"/>
        </w:rPr>
        <w:t xml:space="preserve">(c) where resources and practicalities allow, have member(s) accompany </w:t>
      </w:r>
      <w:r>
        <w:rPr>
          <w:rFonts w:ascii="Times New Roman" w:hAnsi="Times New Roman" w:cs="Times New Roman"/>
          <w:sz w:val="20"/>
          <w:szCs w:val="20"/>
          <w:lang w:val="en-US"/>
        </w:rPr>
        <w:t>[</w:t>
      </w:r>
      <w:r w:rsidRPr="00317BE2">
        <w:rPr>
          <w:rFonts w:ascii="Times New Roman" w:hAnsi="Times New Roman" w:cs="Times New Roman"/>
          <w:sz w:val="20"/>
          <w:szCs w:val="20"/>
          <w:lang w:val="en-US"/>
        </w:rPr>
        <w:t>inspection visits</w:t>
      </w:r>
      <w:r>
        <w:rPr>
          <w:rFonts w:ascii="Times New Roman" w:hAnsi="Times New Roman" w:cs="Times New Roman"/>
          <w:sz w:val="20"/>
          <w:szCs w:val="20"/>
          <w:lang w:val="en-US"/>
        </w:rPr>
        <w:t>]</w:t>
      </w:r>
      <w:r w:rsidRPr="00317BE2">
        <w:rPr>
          <w:rFonts w:ascii="Times New Roman" w:hAnsi="Times New Roman" w:cs="Times New Roman"/>
          <w:sz w:val="20"/>
          <w:szCs w:val="20"/>
          <w:lang w:val="en-US"/>
        </w:rPr>
        <w:t>.</w:t>
      </w:r>
    </w:p>
    <w:p w14:paraId="3E8A6F24" w14:textId="77777777" w:rsidR="00644E1D" w:rsidRPr="00317BE2" w:rsidRDefault="00644E1D" w:rsidP="005F5E9F">
      <w:pPr>
        <w:ind w:firstLine="1080"/>
        <w:rPr>
          <w:rFonts w:ascii="Times New Roman" w:hAnsi="Times New Roman" w:cs="Times New Roman"/>
          <w:sz w:val="20"/>
          <w:szCs w:val="20"/>
          <w:lang w:val="en-US"/>
        </w:rPr>
      </w:pPr>
      <w:r w:rsidRPr="00317BE2">
        <w:rPr>
          <w:rFonts w:ascii="Times New Roman" w:hAnsi="Times New Roman" w:cs="Times New Roman"/>
          <w:sz w:val="20"/>
          <w:szCs w:val="20"/>
          <w:lang w:val="en-US"/>
        </w:rPr>
        <w:t xml:space="preserve">(d) </w:t>
      </w:r>
      <w:r>
        <w:rPr>
          <w:rFonts w:ascii="Times New Roman" w:hAnsi="Times New Roman" w:cs="Times New Roman"/>
          <w:sz w:val="20"/>
          <w:szCs w:val="20"/>
          <w:lang w:val="en-US"/>
        </w:rPr>
        <w:t>[</w:t>
      </w:r>
      <w:r w:rsidRPr="00317BE2">
        <w:rPr>
          <w:rFonts w:ascii="Times New Roman" w:hAnsi="Times New Roman" w:cs="Times New Roman"/>
          <w:sz w:val="20"/>
          <w:szCs w:val="20"/>
          <w:lang w:val="en-US"/>
        </w:rPr>
        <w:t>convene hearings;</w:t>
      </w:r>
      <w:r>
        <w:rPr>
          <w:rFonts w:ascii="Times New Roman" w:hAnsi="Times New Roman" w:cs="Times New Roman"/>
          <w:sz w:val="20"/>
          <w:szCs w:val="20"/>
          <w:lang w:val="en-US"/>
        </w:rPr>
        <w:t>]</w:t>
      </w:r>
    </w:p>
    <w:p w14:paraId="5FD69510" w14:textId="77777777" w:rsidR="00644E1D" w:rsidRPr="00317BE2" w:rsidRDefault="00644E1D" w:rsidP="005F5E9F">
      <w:pPr>
        <w:ind w:firstLine="1080"/>
        <w:rPr>
          <w:rFonts w:ascii="Times New Roman" w:hAnsi="Times New Roman" w:cs="Times New Roman"/>
          <w:sz w:val="20"/>
          <w:szCs w:val="20"/>
          <w:lang w:val="en-US"/>
        </w:rPr>
      </w:pPr>
      <w:r w:rsidRPr="00317BE2">
        <w:rPr>
          <w:rFonts w:ascii="Times New Roman" w:hAnsi="Times New Roman" w:cs="Times New Roman"/>
          <w:sz w:val="20"/>
          <w:szCs w:val="20"/>
          <w:lang w:val="en-US"/>
        </w:rPr>
        <w:t>(e) request expert input or training;</w:t>
      </w:r>
    </w:p>
    <w:p w14:paraId="4621709C" w14:textId="0A1EEAA8" w:rsidR="00644E1D" w:rsidRDefault="00644E1D" w:rsidP="005F5E9F">
      <w:pPr>
        <w:ind w:firstLine="1080"/>
        <w:rPr>
          <w:rFonts w:ascii="Times New Roman" w:hAnsi="Times New Roman" w:cs="Times New Roman"/>
          <w:sz w:val="20"/>
          <w:szCs w:val="20"/>
          <w:lang w:val="en-US"/>
        </w:rPr>
      </w:pPr>
      <w:r>
        <w:rPr>
          <w:noProof/>
          <w:kern w:val="0"/>
          <w:lang w:eastAsia="da-DK"/>
        </w:rPr>
        <mc:AlternateContent>
          <mc:Choice Requires="wps">
            <w:drawing>
              <wp:anchor distT="45720" distB="45720" distL="114300" distR="114300" simplePos="0" relativeHeight="251660288" behindDoc="0" locked="0" layoutInCell="1" allowOverlap="1" wp14:anchorId="67F43869" wp14:editId="71C4525D">
                <wp:simplePos x="0" y="0"/>
                <wp:positionH relativeFrom="margin">
                  <wp:align>right</wp:align>
                </wp:positionH>
                <wp:positionV relativeFrom="paragraph">
                  <wp:posOffset>374650</wp:posOffset>
                </wp:positionV>
                <wp:extent cx="6096000" cy="405765"/>
                <wp:effectExtent l="0" t="0" r="19050" b="24765"/>
                <wp:wrapSquare wrapText="bothSides"/>
                <wp:docPr id="902823530"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05765"/>
                        </a:xfrm>
                        <a:prstGeom prst="rect">
                          <a:avLst/>
                        </a:prstGeom>
                        <a:solidFill>
                          <a:srgbClr val="FFFFFF"/>
                        </a:solidFill>
                        <a:ln w="9525">
                          <a:solidFill>
                            <a:srgbClr val="000000"/>
                          </a:solidFill>
                          <a:miter lim="800000"/>
                          <a:headEnd/>
                          <a:tailEnd/>
                        </a:ln>
                      </wps:spPr>
                      <wps:txbx>
                        <w:txbxContent>
                          <w:p w14:paraId="2B524A4C" w14:textId="1398B87E" w:rsidR="00644E1D" w:rsidRPr="004D1480" w:rsidRDefault="00644E1D" w:rsidP="005F5E9F">
                            <w:pPr>
                              <w:rPr>
                                <w:rFonts w:ascii="Times New Roman" w:hAnsi="Times New Roman" w:cs="Times New Roman"/>
                                <w:sz w:val="20"/>
                                <w:szCs w:val="20"/>
                                <w:lang w:val="en-US"/>
                              </w:rPr>
                            </w:pPr>
                            <w:r w:rsidRPr="004D1480">
                              <w:rPr>
                                <w:rFonts w:ascii="Times New Roman" w:hAnsi="Times New Roman" w:cs="Times New Roman"/>
                                <w:sz w:val="20"/>
                                <w:szCs w:val="20"/>
                                <w:lang w:val="en-US"/>
                              </w:rPr>
                              <w:t>Comment</w:t>
                            </w:r>
                            <w:r w:rsidR="00D82F1D">
                              <w:rPr>
                                <w:rFonts w:ascii="Times New Roman" w:hAnsi="Times New Roman" w:cs="Times New Roman"/>
                                <w:sz w:val="20"/>
                                <w:szCs w:val="20"/>
                                <w:lang w:val="en-US"/>
                              </w:rPr>
                              <w:t>s</w:t>
                            </w:r>
                            <w:r w:rsidRPr="004D1480">
                              <w:rPr>
                                <w:rFonts w:ascii="Times New Roman" w:hAnsi="Times New Roman" w:cs="Times New Roman"/>
                                <w:sz w:val="20"/>
                                <w:szCs w:val="20"/>
                                <w:lang w:val="en-US"/>
                              </w:rPr>
                              <w:t xml:space="preserve">: </w:t>
                            </w:r>
                          </w:p>
                          <w:p w14:paraId="0EF90A3F" w14:textId="77777777" w:rsidR="00644E1D" w:rsidRDefault="00644E1D" w:rsidP="005F5E9F">
                            <w:pPr>
                              <w:pStyle w:val="Listeafsnit"/>
                              <w:numPr>
                                <w:ilvl w:val="0"/>
                                <w:numId w:val="8"/>
                              </w:numPr>
                              <w:rPr>
                                <w:rFonts w:ascii="Times New Roman" w:hAnsi="Times New Roman" w:cs="Times New Roman"/>
                                <w:sz w:val="20"/>
                                <w:szCs w:val="20"/>
                                <w:lang w:val="en-US"/>
                              </w:rPr>
                            </w:pPr>
                            <w:r w:rsidRPr="004D1480">
                              <w:rPr>
                                <w:rFonts w:ascii="Times New Roman" w:hAnsi="Times New Roman" w:cs="Times New Roman"/>
                                <w:sz w:val="20"/>
                                <w:szCs w:val="20"/>
                                <w:lang w:val="en-US"/>
                              </w:rPr>
                              <w:t xml:space="preserve">It has been suggested by some participants that this content on the </w:t>
                            </w:r>
                            <w:r>
                              <w:rPr>
                                <w:rFonts w:ascii="Times New Roman" w:hAnsi="Times New Roman" w:cs="Times New Roman"/>
                                <w:sz w:val="20"/>
                                <w:szCs w:val="20"/>
                                <w:lang w:val="en-US"/>
                              </w:rPr>
                              <w:t>powers of the Compliance Committee</w:t>
                            </w:r>
                            <w:r w:rsidRPr="004D1480">
                              <w:rPr>
                                <w:rFonts w:ascii="Times New Roman" w:hAnsi="Times New Roman" w:cs="Times New Roman"/>
                                <w:sz w:val="20"/>
                                <w:szCs w:val="20"/>
                                <w:lang w:val="en-US"/>
                              </w:rPr>
                              <w:t xml:space="preserve"> should be moved to the draft Regulations, whilst others suggest to included it in the decision. Therefore</w:t>
                            </w:r>
                            <w:r>
                              <w:rPr>
                                <w:rFonts w:ascii="Times New Roman" w:hAnsi="Times New Roman" w:cs="Times New Roman"/>
                                <w:sz w:val="20"/>
                                <w:szCs w:val="20"/>
                                <w:lang w:val="en-US"/>
                              </w:rPr>
                              <w:t>,</w:t>
                            </w:r>
                            <w:r w:rsidRPr="004D1480">
                              <w:rPr>
                                <w:rFonts w:ascii="Times New Roman" w:hAnsi="Times New Roman" w:cs="Times New Roman"/>
                                <w:sz w:val="20"/>
                                <w:szCs w:val="20"/>
                                <w:lang w:val="en-US"/>
                              </w:rPr>
                              <w:t xml:space="preserve"> it is placed in brackets. </w:t>
                            </w:r>
                          </w:p>
                          <w:p w14:paraId="030AD50D" w14:textId="77777777" w:rsidR="00644E1D" w:rsidRDefault="00644E1D" w:rsidP="005F5E9F">
                            <w:pPr>
                              <w:pStyle w:val="Listeafsnit"/>
                              <w:numPr>
                                <w:ilvl w:val="0"/>
                                <w:numId w:val="8"/>
                              </w:numPr>
                              <w:rPr>
                                <w:rFonts w:ascii="Times New Roman" w:hAnsi="Times New Roman" w:cs="Times New Roman"/>
                                <w:sz w:val="20"/>
                                <w:szCs w:val="20"/>
                                <w:lang w:val="en-US"/>
                              </w:rPr>
                            </w:pPr>
                            <w:r>
                              <w:rPr>
                                <w:rFonts w:ascii="Times New Roman" w:hAnsi="Times New Roman" w:cs="Times New Roman"/>
                                <w:sz w:val="20"/>
                                <w:szCs w:val="20"/>
                                <w:lang w:val="en-US"/>
                              </w:rPr>
                              <w:t xml:space="preserve">References to inspection is placed in brackets as it has been pointed out that under articles 165(2)(c) and article 165(3), supervision and inspection, at the request of the Council, fall within the competence of the Commission. During the intersessional meeting on 25 November 2025 and via written input, some participants stressed that they consider that inspection falls within the competence of the staff of inspectors, pursuant to article 162(2)(z) of the Convention. Some participants are of the view that the primary competence to act on inspection matter should lie with the Council/Chief Inspector/Roster of Inspectors. </w:t>
                            </w:r>
                          </w:p>
                          <w:p w14:paraId="519C161C" w14:textId="77777777" w:rsidR="00644E1D" w:rsidRPr="004D1480" w:rsidRDefault="00644E1D" w:rsidP="005F5E9F">
                            <w:pPr>
                              <w:pStyle w:val="Listeafsnit"/>
                              <w:numPr>
                                <w:ilvl w:val="0"/>
                                <w:numId w:val="8"/>
                              </w:numPr>
                              <w:rPr>
                                <w:rFonts w:ascii="Times New Roman" w:hAnsi="Times New Roman" w:cs="Times New Roman"/>
                                <w:sz w:val="20"/>
                                <w:szCs w:val="20"/>
                                <w:lang w:val="en-US"/>
                              </w:rPr>
                            </w:pPr>
                            <w:r>
                              <w:rPr>
                                <w:rFonts w:ascii="Times New Roman" w:hAnsi="Times New Roman" w:cs="Times New Roman"/>
                                <w:sz w:val="20"/>
                                <w:szCs w:val="20"/>
                                <w:lang w:val="en-US"/>
                              </w:rPr>
                              <w:t xml:space="preserve">In respect of para 5(f), it has been raised that under draft regulation 94, Standards are subject to Council decision, so the Committee’s power should be only to make recommendations (if standard is to be included here). It is though not entirely clear which standards are envisaged in relation to the ICE matters. </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F43869" id="_x0000_s1027" type="#_x0000_t202" style="position:absolute;left:0;text-align:left;margin-left:428.8pt;margin-top:29.5pt;width:480pt;height:31.95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">
                <v:textbox style="mso-fit-shape-to-text:t">
                  <w:txbxContent>
                    <w:p w14:paraId="2B524A4C" w14:textId="1398B87E" w:rsidR="00644E1D" w:rsidRPr="004D1480" w:rsidRDefault="00644E1D" w:rsidP="005F5E9F">
                      <w:pPr>
                        <w:rPr>
                          <w:rFonts w:ascii="Times New Roman" w:hAnsi="Times New Roman" w:cs="Times New Roman"/>
                          <w:sz w:val="20"/>
                          <w:szCs w:val="20"/>
                          <w:lang w:val="en-US"/>
                        </w:rPr>
                      </w:pPr>
                      <w:r w:rsidRPr="004D1480">
                        <w:rPr>
                          <w:rFonts w:ascii="Times New Roman" w:hAnsi="Times New Roman" w:cs="Times New Roman"/>
                          <w:sz w:val="20"/>
                          <w:szCs w:val="20"/>
                          <w:lang w:val="en-US"/>
                        </w:rPr>
                        <w:t>Comment</w:t>
                      </w:r>
                      <w:r w:rsidR="00D82F1D">
                        <w:rPr>
                          <w:rFonts w:ascii="Times New Roman" w:hAnsi="Times New Roman" w:cs="Times New Roman"/>
                          <w:sz w:val="20"/>
                          <w:szCs w:val="20"/>
                          <w:lang w:val="en-US"/>
                        </w:rPr>
                        <w:t>s</w:t>
                      </w:r>
                      <w:r w:rsidRPr="004D1480">
                        <w:rPr>
                          <w:rFonts w:ascii="Times New Roman" w:hAnsi="Times New Roman" w:cs="Times New Roman"/>
                          <w:sz w:val="20"/>
                          <w:szCs w:val="20"/>
                          <w:lang w:val="en-US"/>
                        </w:rPr>
                        <w:t xml:space="preserve">: </w:t>
                      </w:r>
                    </w:p>
                    <w:p w14:paraId="0EF90A3F" w14:textId="77777777" w:rsidR="00644E1D" w:rsidRDefault="00644E1D" w:rsidP="005F5E9F">
                      <w:pPr>
                        <w:pStyle w:val="Listeafsnit"/>
                        <w:numPr>
                          <w:ilvl w:val="0"/>
                          <w:numId w:val="8"/>
                        </w:numPr>
                        <w:rPr>
                          <w:rFonts w:ascii="Times New Roman" w:hAnsi="Times New Roman" w:cs="Times New Roman"/>
                          <w:sz w:val="20"/>
                          <w:szCs w:val="20"/>
                          <w:lang w:val="en-US"/>
                        </w:rPr>
                      </w:pPr>
                      <w:r w:rsidRPr="004D1480">
                        <w:rPr>
                          <w:rFonts w:ascii="Times New Roman" w:hAnsi="Times New Roman" w:cs="Times New Roman"/>
                          <w:sz w:val="20"/>
                          <w:szCs w:val="20"/>
                          <w:lang w:val="en-US"/>
                        </w:rPr>
                        <w:t xml:space="preserve">It has been suggested by some participants that this content on the </w:t>
                      </w:r>
                      <w:r>
                        <w:rPr>
                          <w:rFonts w:ascii="Times New Roman" w:hAnsi="Times New Roman" w:cs="Times New Roman"/>
                          <w:sz w:val="20"/>
                          <w:szCs w:val="20"/>
                          <w:lang w:val="en-US"/>
                        </w:rPr>
                        <w:t>powers of the Compliance Committee</w:t>
                      </w:r>
                      <w:r w:rsidRPr="004D1480">
                        <w:rPr>
                          <w:rFonts w:ascii="Times New Roman" w:hAnsi="Times New Roman" w:cs="Times New Roman"/>
                          <w:sz w:val="20"/>
                          <w:szCs w:val="20"/>
                          <w:lang w:val="en-US"/>
                        </w:rPr>
                        <w:t xml:space="preserve"> should be moved to the draft Regulations, whilst others suggest to included it in the decision. Therefore</w:t>
                      </w:r>
                      <w:r>
                        <w:rPr>
                          <w:rFonts w:ascii="Times New Roman" w:hAnsi="Times New Roman" w:cs="Times New Roman"/>
                          <w:sz w:val="20"/>
                          <w:szCs w:val="20"/>
                          <w:lang w:val="en-US"/>
                        </w:rPr>
                        <w:t>,</w:t>
                      </w:r>
                      <w:r w:rsidRPr="004D1480">
                        <w:rPr>
                          <w:rFonts w:ascii="Times New Roman" w:hAnsi="Times New Roman" w:cs="Times New Roman"/>
                          <w:sz w:val="20"/>
                          <w:szCs w:val="20"/>
                          <w:lang w:val="en-US"/>
                        </w:rPr>
                        <w:t xml:space="preserve"> it is placed in brackets. </w:t>
                      </w:r>
                    </w:p>
                    <w:p w14:paraId="030AD50D" w14:textId="77777777" w:rsidR="00644E1D" w:rsidRDefault="00644E1D" w:rsidP="005F5E9F">
                      <w:pPr>
                        <w:pStyle w:val="Listeafsnit"/>
                        <w:numPr>
                          <w:ilvl w:val="0"/>
                          <w:numId w:val="8"/>
                        </w:numPr>
                        <w:rPr>
                          <w:rFonts w:ascii="Times New Roman" w:hAnsi="Times New Roman" w:cs="Times New Roman"/>
                          <w:sz w:val="20"/>
                          <w:szCs w:val="20"/>
                          <w:lang w:val="en-US"/>
                        </w:rPr>
                      </w:pPr>
                      <w:r>
                        <w:rPr>
                          <w:rFonts w:ascii="Times New Roman" w:hAnsi="Times New Roman" w:cs="Times New Roman"/>
                          <w:sz w:val="20"/>
                          <w:szCs w:val="20"/>
                          <w:lang w:val="en-US"/>
                        </w:rPr>
                        <w:t xml:space="preserve">References to inspection is placed in brackets as it has been pointed out that under articles 165(2)(c) and article 165(3), supervision and inspection, at the request of the Council, fall within the competence of the Commission. During the intersessional meeting on 25 November 2025 and via written input, some participants stressed that they consider that inspection falls within the competence of the staff of inspectors, pursuant to article 162(2)(z) of the Convention. Some participants are of the view that the primary competence to act on inspection matter should lie with the Council/Chief Inspector/Roster of Inspectors. </w:t>
                      </w:r>
                    </w:p>
                    <w:p w14:paraId="519C161C" w14:textId="77777777" w:rsidR="00644E1D" w:rsidRPr="004D1480" w:rsidRDefault="00644E1D" w:rsidP="005F5E9F">
                      <w:pPr>
                        <w:pStyle w:val="Listeafsnit"/>
                        <w:numPr>
                          <w:ilvl w:val="0"/>
                          <w:numId w:val="8"/>
                        </w:numPr>
                        <w:rPr>
                          <w:rFonts w:ascii="Times New Roman" w:hAnsi="Times New Roman" w:cs="Times New Roman"/>
                          <w:sz w:val="20"/>
                          <w:szCs w:val="20"/>
                          <w:lang w:val="en-US"/>
                        </w:rPr>
                      </w:pPr>
                      <w:r>
                        <w:rPr>
                          <w:rFonts w:ascii="Times New Roman" w:hAnsi="Times New Roman" w:cs="Times New Roman"/>
                          <w:sz w:val="20"/>
                          <w:szCs w:val="20"/>
                          <w:lang w:val="en-US"/>
                        </w:rPr>
                        <w:t xml:space="preserve">In respect of para 5(f), it has been raised that under draft regulation 94, Standards are subject to Council decision, so the Committee’s power should be only to make recommendations (if standard is to be included here). It is though not entirely clear which standards are envisaged in relation to the ICE matters. </w:t>
                      </w:r>
                    </w:p>
                  </w:txbxContent>
                </v:textbox>
                <w10:wrap type="square" anchorx="margin"/>
              </v:shape>
            </w:pict>
          </mc:Fallback>
        </mc:AlternateContent>
      </w:r>
      <w:r w:rsidRPr="00317BE2">
        <w:rPr>
          <w:rFonts w:ascii="Times New Roman" w:hAnsi="Times New Roman" w:cs="Times New Roman"/>
          <w:sz w:val="20"/>
          <w:szCs w:val="20"/>
          <w:lang w:val="en-US"/>
        </w:rPr>
        <w:t xml:space="preserve">(f) issue </w:t>
      </w:r>
      <w:r>
        <w:rPr>
          <w:rFonts w:ascii="Times New Roman" w:hAnsi="Times New Roman" w:cs="Times New Roman"/>
          <w:sz w:val="20"/>
          <w:szCs w:val="20"/>
          <w:lang w:val="en-US"/>
        </w:rPr>
        <w:t>Standards and G</w:t>
      </w:r>
      <w:r w:rsidRPr="00317BE2">
        <w:rPr>
          <w:rFonts w:ascii="Times New Roman" w:hAnsi="Times New Roman" w:cs="Times New Roman"/>
          <w:sz w:val="20"/>
          <w:szCs w:val="20"/>
          <w:lang w:val="en-US"/>
        </w:rPr>
        <w:t xml:space="preserve">uidelines relating to </w:t>
      </w:r>
      <w:r>
        <w:rPr>
          <w:rFonts w:ascii="Times New Roman" w:hAnsi="Times New Roman" w:cs="Times New Roman"/>
          <w:sz w:val="20"/>
          <w:szCs w:val="20"/>
          <w:lang w:val="en-US"/>
        </w:rPr>
        <w:t>[</w:t>
      </w:r>
      <w:r w:rsidRPr="00317BE2">
        <w:rPr>
          <w:rFonts w:ascii="Times New Roman" w:hAnsi="Times New Roman" w:cs="Times New Roman"/>
          <w:sz w:val="20"/>
          <w:szCs w:val="20"/>
          <w:lang w:val="en-US"/>
        </w:rPr>
        <w:t>inspections</w:t>
      </w:r>
      <w:r>
        <w:rPr>
          <w:rFonts w:ascii="Times New Roman" w:hAnsi="Times New Roman" w:cs="Times New Roman"/>
          <w:sz w:val="20"/>
          <w:szCs w:val="20"/>
          <w:lang w:val="en-US"/>
        </w:rPr>
        <w:t>]</w:t>
      </w:r>
      <w:r w:rsidRPr="00317BE2">
        <w:rPr>
          <w:rFonts w:ascii="Times New Roman" w:hAnsi="Times New Roman" w:cs="Times New Roman"/>
          <w:sz w:val="20"/>
          <w:szCs w:val="20"/>
          <w:lang w:val="en-US"/>
        </w:rPr>
        <w:t>, compliance or enforcement matters.</w:t>
      </w:r>
      <w:r>
        <w:rPr>
          <w:rFonts w:ascii="Times New Roman" w:hAnsi="Times New Roman" w:cs="Times New Roman"/>
          <w:sz w:val="20"/>
          <w:szCs w:val="20"/>
          <w:lang w:val="en-US"/>
        </w:rPr>
        <w:t>]</w:t>
      </w:r>
    </w:p>
    <w:p w14:paraId="0BE9FCCC" w14:textId="77777777" w:rsidR="00644E1D" w:rsidRDefault="00644E1D" w:rsidP="005F5E9F">
      <w:pPr>
        <w:ind w:firstLine="1304"/>
        <w:rPr>
          <w:rFonts w:ascii="Times New Roman" w:hAnsi="Times New Roman" w:cs="Times New Roman"/>
          <w:sz w:val="20"/>
          <w:szCs w:val="20"/>
          <w:lang w:val="en-US"/>
        </w:rPr>
      </w:pPr>
    </w:p>
    <w:p w14:paraId="2A93D5B5" w14:textId="77777777" w:rsidR="00644E1D" w:rsidRPr="00A4460D" w:rsidRDefault="00644E1D" w:rsidP="005F5E9F">
      <w:pPr>
        <w:ind w:firstLine="1304"/>
        <w:rPr>
          <w:rFonts w:ascii="Times New Roman" w:hAnsi="Times New Roman" w:cs="Times New Roman"/>
          <w:sz w:val="20"/>
          <w:szCs w:val="20"/>
          <w:lang w:val="en-US"/>
        </w:rPr>
      </w:pPr>
      <w:r w:rsidRPr="00A4460D">
        <w:rPr>
          <w:rFonts w:ascii="Times New Roman" w:hAnsi="Times New Roman" w:cs="Times New Roman"/>
          <w:sz w:val="20"/>
          <w:szCs w:val="20"/>
          <w:lang w:val="en-US"/>
        </w:rPr>
        <w:lastRenderedPageBreak/>
        <w:t>5</w:t>
      </w:r>
      <w:r>
        <w:rPr>
          <w:rFonts w:ascii="Times New Roman" w:hAnsi="Times New Roman" w:cs="Times New Roman"/>
          <w:sz w:val="20"/>
          <w:szCs w:val="20"/>
          <w:lang w:val="en-US"/>
        </w:rPr>
        <w:t>.</w:t>
      </w:r>
      <w:r w:rsidRPr="00A4460D">
        <w:rPr>
          <w:rFonts w:ascii="Times New Roman" w:hAnsi="Times New Roman" w:cs="Times New Roman"/>
          <w:sz w:val="20"/>
          <w:szCs w:val="20"/>
          <w:lang w:val="en-US"/>
        </w:rPr>
        <w:t xml:space="preserve"> bis </w:t>
      </w:r>
      <w:r w:rsidRPr="00A4460D">
        <w:rPr>
          <w:rFonts w:ascii="Times New Roman" w:hAnsi="Times New Roman" w:cs="Times New Roman"/>
          <w:i/>
          <w:iCs/>
          <w:sz w:val="20"/>
          <w:szCs w:val="20"/>
          <w:lang w:val="en-US"/>
        </w:rPr>
        <w:t xml:space="preserve">Directs </w:t>
      </w:r>
      <w:r w:rsidRPr="00A4460D">
        <w:rPr>
          <w:rFonts w:ascii="Times New Roman" w:hAnsi="Times New Roman" w:cs="Times New Roman"/>
          <w:sz w:val="20"/>
          <w:szCs w:val="20"/>
          <w:lang w:val="en-US"/>
        </w:rPr>
        <w:t>that in performing any of its functions, the Committee shall apply the principles of independence, transparency, accountability, expertise, proportionality and probity, and act consistently with the Convention and the rules, regulations and procedures of the Authority.</w:t>
      </w:r>
    </w:p>
    <w:p w14:paraId="047A520E" w14:textId="20EC0B31" w:rsidR="00644E1D" w:rsidRDefault="00644E1D" w:rsidP="005F5E9F">
      <w:pPr>
        <w:ind w:firstLine="1304"/>
        <w:rPr>
          <w:rFonts w:ascii="Times New Roman" w:hAnsi="Times New Roman" w:cs="Times New Roman"/>
          <w:sz w:val="20"/>
          <w:szCs w:val="20"/>
          <w:lang w:val="en-US"/>
        </w:rPr>
      </w:pPr>
      <w:r>
        <w:rPr>
          <w:rFonts w:ascii="Times New Roman" w:hAnsi="Times New Roman" w:cs="Times New Roman"/>
          <w:sz w:val="20"/>
          <w:szCs w:val="20"/>
          <w:lang w:val="en-US"/>
        </w:rPr>
        <w:t xml:space="preserve">5. ter </w:t>
      </w:r>
      <w:r w:rsidRPr="00167819">
        <w:rPr>
          <w:rFonts w:ascii="Times New Roman" w:hAnsi="Times New Roman" w:cs="Times New Roman"/>
          <w:i/>
          <w:iCs/>
          <w:sz w:val="20"/>
          <w:szCs w:val="20"/>
          <w:lang w:val="en-US"/>
        </w:rPr>
        <w:t>Requires</w:t>
      </w:r>
      <w:r>
        <w:rPr>
          <w:rFonts w:ascii="Times New Roman" w:hAnsi="Times New Roman" w:cs="Times New Roman"/>
          <w:sz w:val="20"/>
          <w:szCs w:val="20"/>
          <w:lang w:val="en-US"/>
        </w:rPr>
        <w:t xml:space="preserve"> that the Committee shall conduct public consultations on core instruments it develops or revises, such as the Authority’s Compliance Strategy.  </w:t>
      </w:r>
    </w:p>
    <w:p w14:paraId="63AA99A2" w14:textId="77777777" w:rsidR="00644E1D" w:rsidRPr="00BC438D" w:rsidRDefault="00644E1D" w:rsidP="005F5E9F">
      <w:pPr>
        <w:ind w:firstLine="1304"/>
        <w:rPr>
          <w:rFonts w:ascii="Times New Roman" w:hAnsi="Times New Roman" w:cs="Times New Roman"/>
          <w:sz w:val="20"/>
          <w:szCs w:val="20"/>
          <w:lang w:val="en"/>
        </w:rPr>
      </w:pPr>
      <w:r>
        <w:rPr>
          <w:rFonts w:ascii="Times New Roman" w:hAnsi="Times New Roman" w:cs="Times New Roman"/>
          <w:sz w:val="20"/>
          <w:szCs w:val="20"/>
          <w:lang w:val="en-US"/>
        </w:rPr>
        <w:t xml:space="preserve">6. </w:t>
      </w:r>
      <w:r w:rsidRPr="00BC438D">
        <w:rPr>
          <w:rFonts w:ascii="Times New Roman" w:hAnsi="Times New Roman" w:cs="Times New Roman"/>
          <w:i/>
          <w:iCs/>
          <w:sz w:val="20"/>
          <w:szCs w:val="20"/>
          <w:lang w:val="en-US"/>
        </w:rPr>
        <w:t xml:space="preserve">Establishes </w:t>
      </w:r>
      <w:r w:rsidRPr="00BC438D">
        <w:rPr>
          <w:rFonts w:ascii="Times New Roman" w:hAnsi="Times New Roman" w:cs="Times New Roman"/>
          <w:sz w:val="20"/>
          <w:szCs w:val="20"/>
          <w:lang w:val="en-US"/>
        </w:rPr>
        <w:t>that the procedure for nomination of candidates for the election of the Compliance Committee shall be as follows:</w:t>
      </w:r>
    </w:p>
    <w:p w14:paraId="22D4BEAF" w14:textId="77777777" w:rsidR="00644E1D" w:rsidRPr="00E850F1" w:rsidRDefault="00644E1D" w:rsidP="005F5E9F">
      <w:pPr>
        <w:ind w:left="1080"/>
        <w:rPr>
          <w:rFonts w:ascii="Times New Roman" w:hAnsi="Times New Roman" w:cs="Times New Roman"/>
          <w:sz w:val="20"/>
          <w:szCs w:val="20"/>
          <w:lang w:val="en"/>
        </w:rPr>
      </w:pPr>
      <w:r>
        <w:rPr>
          <w:rFonts w:ascii="Times New Roman" w:hAnsi="Times New Roman" w:cs="Times New Roman"/>
          <w:sz w:val="20"/>
          <w:szCs w:val="20"/>
          <w:lang w:val="en-US"/>
        </w:rPr>
        <w:t>(a) at least six months before the opening of the session of the International Seabed Authority at which the election is to be held, the Secretary-General shall address a written invitation to all members of the Authority to submit their nominations of candidates for election to the Compliance Committee;</w:t>
      </w:r>
    </w:p>
    <w:p w14:paraId="56A40974" w14:textId="020D4530" w:rsidR="00644E1D" w:rsidRPr="00317BE2" w:rsidRDefault="00644E1D" w:rsidP="005F5E9F">
      <w:pPr>
        <w:pStyle w:val="Listeafsnit"/>
        <w:ind w:left="1080"/>
        <w:rPr>
          <w:rFonts w:ascii="Times New Roman" w:hAnsi="Times New Roman" w:cs="Times New Roman"/>
          <w:sz w:val="20"/>
          <w:szCs w:val="20"/>
          <w:lang w:val="en-US"/>
        </w:rPr>
      </w:pPr>
      <w:r>
        <w:rPr>
          <w:rFonts w:ascii="Times New Roman" w:hAnsi="Times New Roman" w:cs="Times New Roman"/>
          <w:sz w:val="20"/>
          <w:szCs w:val="20"/>
          <w:lang w:val="en-US"/>
        </w:rPr>
        <w:t xml:space="preserve">(b) </w:t>
      </w:r>
      <w:r w:rsidR="008E7117">
        <w:rPr>
          <w:rFonts w:ascii="Times New Roman" w:hAnsi="Times New Roman" w:cs="Times New Roman"/>
          <w:sz w:val="20"/>
          <w:szCs w:val="20"/>
          <w:lang w:val="en-US"/>
        </w:rPr>
        <w:t>n</w:t>
      </w:r>
      <w:r>
        <w:rPr>
          <w:rFonts w:ascii="Times New Roman" w:hAnsi="Times New Roman" w:cs="Times New Roman"/>
          <w:sz w:val="20"/>
          <w:szCs w:val="20"/>
          <w:lang w:val="en-US"/>
        </w:rPr>
        <w:t>ominations for election to the Committee shall be accompanied by a statement of qualification or curriculum vitae setting out the candidate’s qualifications and expertise in fields relevant to the work of the Committee and shall be received not less than three months prior to the opening of the relevant session of the Authority; nominations received less than three months prior to the opening of the relevant session of the Authority will not be accepted; and</w:t>
      </w:r>
    </w:p>
    <w:p w14:paraId="6E0B84B9" w14:textId="48B4E2A6" w:rsidR="00644E1D" w:rsidRPr="00317BE2" w:rsidRDefault="00644E1D" w:rsidP="005F5E9F">
      <w:pPr>
        <w:pStyle w:val="Listeafsnit"/>
        <w:ind w:left="1080"/>
        <w:rPr>
          <w:rFonts w:ascii="Times New Roman" w:hAnsi="Times New Roman" w:cs="Times New Roman"/>
          <w:sz w:val="20"/>
          <w:szCs w:val="20"/>
          <w:lang w:val="en"/>
        </w:rPr>
      </w:pPr>
      <w:r>
        <w:rPr>
          <w:rFonts w:ascii="Times New Roman" w:hAnsi="Times New Roman" w:cs="Times New Roman"/>
          <w:sz w:val="20"/>
          <w:szCs w:val="20"/>
          <w:lang w:val="en-US"/>
        </w:rPr>
        <w:t xml:space="preserve">(c) </w:t>
      </w:r>
      <w:r w:rsidR="008E7117">
        <w:rPr>
          <w:rFonts w:ascii="Times New Roman" w:hAnsi="Times New Roman" w:cs="Times New Roman"/>
          <w:sz w:val="20"/>
          <w:szCs w:val="20"/>
          <w:lang w:val="en-US"/>
        </w:rPr>
        <w:t>t</w:t>
      </w:r>
      <w:r w:rsidRPr="004338C8">
        <w:rPr>
          <w:rFonts w:ascii="Times New Roman" w:hAnsi="Times New Roman" w:cs="Times New Roman"/>
          <w:sz w:val="20"/>
          <w:szCs w:val="20"/>
          <w:lang w:val="en-US"/>
        </w:rPr>
        <w:t>he Secretary-General shall prepare a list in alphabetical order of the persons nominated for election to the Committee in accordance with paragraph (a) above, indicating the nominating member of the Authority, and containing an annex with the statements of qualification or curricula vitae submitted in accordance with paragraph (b) above; the list shall be circulated to all members of the Authority not less than two months prior to the opening of the session at which the election is to be held</w:t>
      </w:r>
      <w:r>
        <w:rPr>
          <w:rFonts w:ascii="Times New Roman" w:hAnsi="Times New Roman" w:cs="Times New Roman"/>
          <w:sz w:val="20"/>
          <w:szCs w:val="20"/>
          <w:lang w:val="en-US"/>
        </w:rPr>
        <w:t>.</w:t>
      </w:r>
    </w:p>
    <w:p w14:paraId="4AEFA864" w14:textId="77777777" w:rsidR="00644E1D" w:rsidRDefault="00644E1D" w:rsidP="005F5E9F">
      <w:pPr>
        <w:ind w:firstLine="1304"/>
        <w:rPr>
          <w:rFonts w:ascii="Times New Roman" w:hAnsi="Times New Roman" w:cs="Times New Roman"/>
          <w:strike/>
          <w:color w:val="EE0000"/>
          <w:sz w:val="20"/>
          <w:szCs w:val="20"/>
          <w:lang w:val="en-GB"/>
        </w:rPr>
      </w:pPr>
      <w:r w:rsidRPr="00684FA0">
        <w:rPr>
          <w:rFonts w:ascii="Times New Roman" w:hAnsi="Times New Roman" w:cs="Times New Roman"/>
          <w:sz w:val="20"/>
          <w:szCs w:val="20"/>
          <w:lang w:val="en-US"/>
        </w:rPr>
        <w:t xml:space="preserve">7. </w:t>
      </w:r>
      <w:r w:rsidRPr="00BC438D">
        <w:rPr>
          <w:rFonts w:ascii="Times New Roman" w:hAnsi="Times New Roman" w:cs="Times New Roman"/>
          <w:i/>
          <w:iCs/>
          <w:sz w:val="20"/>
          <w:szCs w:val="20"/>
          <w:lang w:val="en-US"/>
        </w:rPr>
        <w:t>Decides</w:t>
      </w:r>
      <w:r w:rsidRPr="00BC438D">
        <w:rPr>
          <w:rFonts w:ascii="Times New Roman" w:hAnsi="Times New Roman" w:cs="Times New Roman"/>
          <w:sz w:val="20"/>
          <w:szCs w:val="20"/>
          <w:lang w:val="en-US"/>
        </w:rPr>
        <w:t xml:space="preserve"> that the Committee </w:t>
      </w:r>
      <w:r w:rsidRPr="00BC438D">
        <w:rPr>
          <w:rFonts w:ascii="Times New Roman" w:hAnsi="Times New Roman" w:cs="Times New Roman"/>
          <w:sz w:val="20"/>
          <w:szCs w:val="20"/>
          <w:lang w:val="en"/>
        </w:rPr>
        <w:t>shall formulate</w:t>
      </w:r>
      <w:r w:rsidRPr="00BC438D">
        <w:rPr>
          <w:rFonts w:ascii="Times New Roman" w:hAnsi="Times New Roman" w:cs="Times New Roman"/>
          <w:sz w:val="20"/>
          <w:szCs w:val="20"/>
          <w:lang w:val="en-US"/>
        </w:rPr>
        <w:t xml:space="preserve"> its own </w:t>
      </w:r>
      <w:r w:rsidRPr="00BC438D">
        <w:rPr>
          <w:rFonts w:ascii="Times New Roman" w:hAnsi="Times New Roman" w:cs="Times New Roman"/>
          <w:sz w:val="20"/>
          <w:szCs w:val="20"/>
          <w:lang w:val="en"/>
        </w:rPr>
        <w:t>R</w:t>
      </w:r>
      <w:r w:rsidRPr="00BC438D">
        <w:rPr>
          <w:rFonts w:ascii="Times New Roman" w:hAnsi="Times New Roman" w:cs="Times New Roman"/>
          <w:sz w:val="20"/>
          <w:szCs w:val="20"/>
          <w:lang w:val="en-US"/>
        </w:rPr>
        <w:t xml:space="preserve">ules of </w:t>
      </w:r>
      <w:r w:rsidRPr="00BC438D">
        <w:rPr>
          <w:rFonts w:ascii="Times New Roman" w:hAnsi="Times New Roman" w:cs="Times New Roman"/>
          <w:sz w:val="20"/>
          <w:szCs w:val="20"/>
          <w:lang w:val="en"/>
        </w:rPr>
        <w:t>P</w:t>
      </w:r>
      <w:r w:rsidRPr="00BC438D">
        <w:rPr>
          <w:rFonts w:ascii="Times New Roman" w:hAnsi="Times New Roman" w:cs="Times New Roman"/>
          <w:sz w:val="20"/>
          <w:szCs w:val="20"/>
          <w:lang w:val="en-US"/>
        </w:rPr>
        <w:t>rocedure</w:t>
      </w:r>
      <w:r w:rsidRPr="00BC438D">
        <w:rPr>
          <w:rFonts w:ascii="Times New Roman" w:hAnsi="Times New Roman" w:cs="Times New Roman"/>
          <w:sz w:val="20"/>
          <w:szCs w:val="20"/>
          <w:lang w:val="en"/>
        </w:rPr>
        <w:t xml:space="preserve"> and submit these to the Council for approval</w:t>
      </w:r>
      <w:r w:rsidRPr="00BC438D">
        <w:rPr>
          <w:rFonts w:ascii="Times New Roman" w:hAnsi="Times New Roman" w:cs="Times New Roman"/>
          <w:sz w:val="20"/>
          <w:szCs w:val="20"/>
          <w:lang w:val="en-US"/>
        </w:rPr>
        <w:t xml:space="preserve">. The Rules of Procedure should enable agile working by the Committee that can accommodate urgent matters. </w:t>
      </w:r>
    </w:p>
    <w:p w14:paraId="671BCF7B" w14:textId="77777777" w:rsidR="00644E1D" w:rsidRPr="005150E2" w:rsidRDefault="00644E1D" w:rsidP="005F5E9F">
      <w:pPr>
        <w:ind w:firstLine="1304"/>
        <w:rPr>
          <w:rFonts w:ascii="Times New Roman" w:hAnsi="Times New Roman" w:cs="Times New Roman"/>
          <w:strike/>
          <w:color w:val="EE0000"/>
          <w:sz w:val="20"/>
          <w:szCs w:val="20"/>
          <w:lang w:val="en-GB"/>
        </w:rPr>
      </w:pPr>
      <w:r>
        <w:rPr>
          <w:rFonts w:ascii="Times New Roman" w:hAnsi="Times New Roman" w:cs="Times New Roman"/>
          <w:sz w:val="20"/>
          <w:szCs w:val="20"/>
          <w:lang w:val="en-GB"/>
        </w:rPr>
        <w:t xml:space="preserve">8. </w:t>
      </w:r>
      <w:r w:rsidRPr="00BC438D">
        <w:rPr>
          <w:rFonts w:ascii="Times New Roman" w:hAnsi="Times New Roman" w:cs="Times New Roman"/>
          <w:i/>
          <w:iCs/>
          <w:sz w:val="20"/>
          <w:szCs w:val="20"/>
          <w:lang w:val="en-GB"/>
        </w:rPr>
        <w:t xml:space="preserve">Decides </w:t>
      </w:r>
      <w:r>
        <w:rPr>
          <w:rFonts w:ascii="Times New Roman" w:hAnsi="Times New Roman" w:cs="Times New Roman"/>
          <w:sz w:val="20"/>
          <w:szCs w:val="20"/>
          <w:lang w:val="en-GB"/>
        </w:rPr>
        <w:t>that t</w:t>
      </w:r>
      <w:r w:rsidRPr="00BC438D">
        <w:rPr>
          <w:rFonts w:ascii="Times New Roman" w:hAnsi="Times New Roman" w:cs="Times New Roman"/>
          <w:sz w:val="20"/>
          <w:szCs w:val="20"/>
          <w:lang w:val="en-GB"/>
        </w:rPr>
        <w:t xml:space="preserve">he Council shall elect </w:t>
      </w:r>
      <w:r>
        <w:rPr>
          <w:rFonts w:ascii="Times New Roman" w:hAnsi="Times New Roman" w:cs="Times New Roman"/>
          <w:sz w:val="20"/>
          <w:szCs w:val="20"/>
          <w:lang w:val="en-GB"/>
        </w:rPr>
        <w:t>[</w:t>
      </w:r>
      <w:r w:rsidRPr="00BC438D">
        <w:rPr>
          <w:rFonts w:ascii="Times New Roman" w:hAnsi="Times New Roman" w:cs="Times New Roman"/>
          <w:sz w:val="20"/>
          <w:szCs w:val="20"/>
          <w:lang w:val="en-GB"/>
        </w:rPr>
        <w:t>no more than</w:t>
      </w:r>
      <w:r>
        <w:rPr>
          <w:rFonts w:ascii="Times New Roman" w:hAnsi="Times New Roman" w:cs="Times New Roman"/>
          <w:sz w:val="20"/>
          <w:szCs w:val="20"/>
          <w:lang w:val="en-GB"/>
        </w:rPr>
        <w:t>]</w:t>
      </w:r>
      <w:r w:rsidRPr="00BC438D">
        <w:rPr>
          <w:rFonts w:ascii="Times New Roman" w:hAnsi="Times New Roman" w:cs="Times New Roman"/>
          <w:sz w:val="20"/>
          <w:szCs w:val="20"/>
          <w:lang w:val="en-GB"/>
        </w:rPr>
        <w:t xml:space="preserve"> [15] members for a five-years [once renewable term] from among the candidates nominated by the members of the Authority [or who may apply through an application process managed by the Secretariat]. </w:t>
      </w:r>
      <w:r w:rsidRPr="005150E2">
        <w:rPr>
          <w:rFonts w:ascii="Times New Roman" w:hAnsi="Times New Roman" w:cs="Times New Roman"/>
          <w:sz w:val="20"/>
          <w:szCs w:val="20"/>
          <w:lang w:val="en"/>
        </w:rPr>
        <w:t>Members of the Committee shall be elected on the basis of:</w:t>
      </w:r>
    </w:p>
    <w:p w14:paraId="30F382A4" w14:textId="77777777" w:rsidR="00644E1D" w:rsidRDefault="00644E1D" w:rsidP="005F5E9F">
      <w:pPr>
        <w:ind w:left="1080"/>
        <w:rPr>
          <w:rFonts w:ascii="Times New Roman" w:hAnsi="Times New Roman" w:cs="Times New Roman"/>
          <w:sz w:val="20"/>
          <w:szCs w:val="20"/>
          <w:lang w:val="en-GB"/>
        </w:rPr>
      </w:pPr>
      <w:r>
        <w:rPr>
          <w:rFonts w:ascii="Times New Roman" w:hAnsi="Times New Roman" w:cs="Times New Roman"/>
          <w:sz w:val="20"/>
          <w:szCs w:val="20"/>
          <w:lang w:val="en"/>
        </w:rPr>
        <w:t>(a)</w:t>
      </w:r>
      <w:r w:rsidRPr="007F51B9">
        <w:rPr>
          <w:rFonts w:ascii="Times New Roman" w:hAnsi="Times New Roman" w:cs="Times New Roman"/>
          <w:sz w:val="20"/>
          <w:szCs w:val="20"/>
          <w:lang w:val="en-GB"/>
        </w:rPr>
        <w:t xml:space="preserve"> the </w:t>
      </w:r>
      <w:r w:rsidRPr="00317BE2">
        <w:rPr>
          <w:rFonts w:ascii="Times New Roman" w:hAnsi="Times New Roman" w:cs="Times New Roman"/>
          <w:sz w:val="20"/>
          <w:szCs w:val="20"/>
          <w:lang w:val="en-US"/>
        </w:rPr>
        <w:t>highest</w:t>
      </w:r>
      <w:r w:rsidRPr="007F51B9">
        <w:rPr>
          <w:rFonts w:ascii="Times New Roman" w:hAnsi="Times New Roman" w:cs="Times New Roman"/>
          <w:sz w:val="20"/>
          <w:szCs w:val="20"/>
          <w:lang w:val="en-GB"/>
        </w:rPr>
        <w:t xml:space="preserve"> standards of competence and integrity</w:t>
      </w:r>
      <w:r>
        <w:rPr>
          <w:rFonts w:ascii="Times New Roman" w:hAnsi="Times New Roman" w:cs="Times New Roman"/>
          <w:sz w:val="20"/>
          <w:szCs w:val="20"/>
          <w:lang w:val="en-GB"/>
        </w:rPr>
        <w:t>;</w:t>
      </w:r>
      <w:r w:rsidRPr="007F51B9">
        <w:rPr>
          <w:rFonts w:ascii="Times New Roman" w:hAnsi="Times New Roman" w:cs="Times New Roman"/>
          <w:sz w:val="20"/>
          <w:szCs w:val="20"/>
          <w:lang w:val="en-GB"/>
        </w:rPr>
        <w:t xml:space="preserve"> </w:t>
      </w:r>
    </w:p>
    <w:p w14:paraId="08E7A912" w14:textId="77777777" w:rsidR="00644E1D" w:rsidRDefault="00644E1D" w:rsidP="005F5E9F">
      <w:pPr>
        <w:ind w:left="1080"/>
        <w:rPr>
          <w:rFonts w:ascii="Times New Roman" w:hAnsi="Times New Roman" w:cs="Times New Roman"/>
          <w:sz w:val="20"/>
          <w:szCs w:val="20"/>
          <w:lang w:val="en-GB"/>
        </w:rPr>
      </w:pPr>
      <w:r w:rsidRPr="00317BE2">
        <w:rPr>
          <w:rFonts w:ascii="Times New Roman" w:hAnsi="Times New Roman" w:cs="Times New Roman"/>
          <w:sz w:val="20"/>
          <w:szCs w:val="20"/>
          <w:lang w:val="en-GB"/>
        </w:rPr>
        <w:t>(b) qualification in relevant fields</w:t>
      </w:r>
      <w:r>
        <w:rPr>
          <w:rFonts w:ascii="Times New Roman" w:hAnsi="Times New Roman" w:cs="Times New Roman"/>
          <w:sz w:val="20"/>
          <w:szCs w:val="20"/>
          <w:lang w:val="en-GB"/>
        </w:rPr>
        <w:t>, including compliance, inspection and enforcement</w:t>
      </w:r>
      <w:r w:rsidRPr="00317BE2">
        <w:rPr>
          <w:rFonts w:ascii="Times New Roman" w:hAnsi="Times New Roman" w:cs="Times New Roman"/>
          <w:sz w:val="20"/>
          <w:szCs w:val="20"/>
          <w:lang w:val="en-GB"/>
        </w:rPr>
        <w:t xml:space="preserve">; </w:t>
      </w:r>
    </w:p>
    <w:p w14:paraId="3A4DC2B3" w14:textId="40F02F60" w:rsidR="00644E1D" w:rsidRDefault="00644E1D" w:rsidP="005F5E9F">
      <w:pPr>
        <w:ind w:left="1080"/>
        <w:rPr>
          <w:rFonts w:ascii="Times New Roman" w:hAnsi="Times New Roman" w:cs="Times New Roman"/>
          <w:sz w:val="20"/>
          <w:szCs w:val="20"/>
          <w:lang w:val="en-GB"/>
        </w:rPr>
      </w:pPr>
      <w:r w:rsidRPr="00317BE2">
        <w:rPr>
          <w:rFonts w:ascii="Times New Roman" w:hAnsi="Times New Roman" w:cs="Times New Roman"/>
          <w:sz w:val="20"/>
          <w:szCs w:val="20"/>
          <w:lang w:val="en-GB"/>
        </w:rPr>
        <w:t>(c) specialized expertise relevant to activities in the Area;</w:t>
      </w:r>
    </w:p>
    <w:p w14:paraId="5433187B" w14:textId="77777777" w:rsidR="00644E1D" w:rsidRDefault="00644E1D" w:rsidP="005F5E9F">
      <w:pPr>
        <w:ind w:left="1080"/>
        <w:rPr>
          <w:rFonts w:ascii="Times New Roman" w:hAnsi="Times New Roman" w:cs="Times New Roman"/>
          <w:sz w:val="20"/>
          <w:szCs w:val="20"/>
          <w:lang w:val="en-GB"/>
        </w:rPr>
      </w:pPr>
      <w:r w:rsidRPr="00317BE2">
        <w:rPr>
          <w:rFonts w:ascii="Times New Roman" w:hAnsi="Times New Roman" w:cs="Times New Roman"/>
          <w:sz w:val="20"/>
          <w:szCs w:val="20"/>
          <w:lang w:val="en-GB"/>
        </w:rPr>
        <w:t xml:space="preserve">(d) gender balance; and </w:t>
      </w:r>
    </w:p>
    <w:p w14:paraId="473EFD27" w14:textId="77777777" w:rsidR="00644E1D" w:rsidRDefault="00644E1D" w:rsidP="005F5E9F">
      <w:pPr>
        <w:ind w:left="1080"/>
        <w:rPr>
          <w:rFonts w:ascii="Times New Roman" w:hAnsi="Times New Roman" w:cs="Times New Roman"/>
          <w:sz w:val="20"/>
          <w:szCs w:val="20"/>
          <w:lang w:val="en-GB"/>
        </w:rPr>
      </w:pPr>
      <w:r w:rsidRPr="00317BE2">
        <w:rPr>
          <w:rFonts w:ascii="Times New Roman" w:hAnsi="Times New Roman" w:cs="Times New Roman"/>
          <w:sz w:val="20"/>
          <w:szCs w:val="20"/>
          <w:lang w:val="en-GB"/>
        </w:rPr>
        <w:t xml:space="preserve">(e) a balance across the membership of different necessary competences for the effective exercise of the functions of the Committee, and with due account for equitable geographical distribution and the representation of special interest. </w:t>
      </w:r>
    </w:p>
    <w:p w14:paraId="56828C2C" w14:textId="77777777" w:rsidR="00644E1D" w:rsidRPr="00317BE2" w:rsidRDefault="00644E1D" w:rsidP="005F5E9F">
      <w:pPr>
        <w:ind w:left="1080"/>
        <w:rPr>
          <w:rFonts w:ascii="Times New Roman" w:hAnsi="Times New Roman" w:cs="Times New Roman"/>
          <w:sz w:val="20"/>
          <w:szCs w:val="20"/>
          <w:lang w:val="en-GB"/>
        </w:rPr>
      </w:pPr>
      <w:r>
        <w:rPr>
          <w:noProof/>
          <w:kern w:val="0"/>
          <w:lang w:eastAsia="da-DK"/>
        </w:rPr>
        <w:lastRenderedPageBreak/>
        <mc:AlternateContent>
          <mc:Choice Requires="wps">
            <w:drawing>
              <wp:anchor distT="45720" distB="45720" distL="114300" distR="114300" simplePos="0" relativeHeight="251661312" behindDoc="0" locked="0" layoutInCell="1" allowOverlap="1" wp14:anchorId="674EE845" wp14:editId="0BAB0D6F">
                <wp:simplePos x="0" y="0"/>
                <wp:positionH relativeFrom="margin">
                  <wp:align>right</wp:align>
                </wp:positionH>
                <wp:positionV relativeFrom="paragraph">
                  <wp:posOffset>91440</wp:posOffset>
                </wp:positionV>
                <wp:extent cx="6086475" cy="405765"/>
                <wp:effectExtent l="0" t="0" r="28575" b="22860"/>
                <wp:wrapSquare wrapText="bothSides"/>
                <wp:docPr id="1715340948"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05765"/>
                        </a:xfrm>
                        <a:prstGeom prst="rect">
                          <a:avLst/>
                        </a:prstGeom>
                        <a:solidFill>
                          <a:srgbClr val="FFFFFF"/>
                        </a:solidFill>
                        <a:ln w="9525">
                          <a:solidFill>
                            <a:srgbClr val="000000"/>
                          </a:solidFill>
                          <a:miter lim="800000"/>
                          <a:headEnd/>
                          <a:tailEnd/>
                        </a:ln>
                      </wps:spPr>
                      <wps:txbx>
                        <w:txbxContent>
                          <w:p w14:paraId="6C090777" w14:textId="3C2F080F" w:rsidR="00644E1D" w:rsidRPr="004D1480" w:rsidRDefault="00644E1D" w:rsidP="005F5E9F">
                            <w:pPr>
                              <w:rPr>
                                <w:rFonts w:ascii="Times New Roman" w:hAnsi="Times New Roman" w:cs="Times New Roman"/>
                                <w:sz w:val="20"/>
                                <w:szCs w:val="20"/>
                                <w:lang w:val="en-US"/>
                              </w:rPr>
                            </w:pPr>
                            <w:r w:rsidRPr="004D1480">
                              <w:rPr>
                                <w:rFonts w:ascii="Times New Roman" w:hAnsi="Times New Roman" w:cs="Times New Roman"/>
                                <w:sz w:val="20"/>
                                <w:szCs w:val="20"/>
                                <w:lang w:val="en-US"/>
                              </w:rPr>
                              <w:t>Comment</w:t>
                            </w:r>
                            <w:r w:rsidR="00751D95">
                              <w:rPr>
                                <w:rFonts w:ascii="Times New Roman" w:hAnsi="Times New Roman" w:cs="Times New Roman"/>
                                <w:sz w:val="20"/>
                                <w:szCs w:val="20"/>
                                <w:lang w:val="en-US"/>
                              </w:rPr>
                              <w:t>s</w:t>
                            </w:r>
                            <w:r w:rsidRPr="004D1480">
                              <w:rPr>
                                <w:rFonts w:ascii="Times New Roman" w:hAnsi="Times New Roman" w:cs="Times New Roman"/>
                                <w:sz w:val="20"/>
                                <w:szCs w:val="20"/>
                                <w:lang w:val="en-US"/>
                              </w:rPr>
                              <w:t xml:space="preserve">: </w:t>
                            </w:r>
                          </w:p>
                          <w:p w14:paraId="3170422A" w14:textId="77777777" w:rsidR="00644E1D" w:rsidRDefault="00644E1D" w:rsidP="005F5E9F">
                            <w:pPr>
                              <w:pStyle w:val="Listeafsnit"/>
                              <w:numPr>
                                <w:ilvl w:val="0"/>
                                <w:numId w:val="8"/>
                              </w:numPr>
                              <w:rPr>
                                <w:rFonts w:ascii="Times New Roman" w:hAnsi="Times New Roman" w:cs="Times New Roman"/>
                                <w:sz w:val="20"/>
                                <w:szCs w:val="20"/>
                                <w:lang w:val="en-US"/>
                              </w:rPr>
                            </w:pPr>
                            <w:r w:rsidRPr="004D1480">
                              <w:rPr>
                                <w:rFonts w:ascii="Times New Roman" w:hAnsi="Times New Roman" w:cs="Times New Roman"/>
                                <w:sz w:val="20"/>
                                <w:szCs w:val="20"/>
                                <w:lang w:val="en-US"/>
                              </w:rPr>
                              <w:t xml:space="preserve">It has been suggested </w:t>
                            </w:r>
                            <w:r>
                              <w:rPr>
                                <w:rFonts w:ascii="Times New Roman" w:hAnsi="Times New Roman" w:cs="Times New Roman"/>
                                <w:sz w:val="20"/>
                                <w:szCs w:val="20"/>
                                <w:lang w:val="en-US"/>
                              </w:rPr>
                              <w:t xml:space="preserve">to add “no more than” before 15 members, as this Committee is tasked with overseeing compliance, whereas the Chief Inspector and the inspectorate will be conducting the operational work. </w:t>
                            </w:r>
                          </w:p>
                          <w:p w14:paraId="3AA70852" w14:textId="5921039F" w:rsidR="00644E1D" w:rsidRPr="004D1480" w:rsidRDefault="00644E1D" w:rsidP="005F5E9F">
                            <w:pPr>
                              <w:pStyle w:val="Listeafsnit"/>
                              <w:numPr>
                                <w:ilvl w:val="0"/>
                                <w:numId w:val="8"/>
                              </w:numPr>
                              <w:rPr>
                                <w:rFonts w:ascii="Times New Roman" w:hAnsi="Times New Roman" w:cs="Times New Roman"/>
                                <w:sz w:val="20"/>
                                <w:szCs w:val="20"/>
                                <w:lang w:val="en-US"/>
                              </w:rPr>
                            </w:pPr>
                            <w:r>
                              <w:rPr>
                                <w:rFonts w:ascii="Times New Roman" w:hAnsi="Times New Roman" w:cs="Times New Roman"/>
                                <w:sz w:val="20"/>
                                <w:szCs w:val="20"/>
                                <w:lang w:val="en-US"/>
                              </w:rPr>
                              <w:t xml:space="preserve">It has been proposed to allow for the election of qualified experts that are not nominated by members of the Authority but would fulfill the qualification requirements. Some participants </w:t>
                            </w:r>
                            <w:r w:rsidR="008E7117">
                              <w:rPr>
                                <w:rFonts w:ascii="Times New Roman" w:hAnsi="Times New Roman" w:cs="Times New Roman"/>
                                <w:sz w:val="20"/>
                                <w:szCs w:val="20"/>
                                <w:lang w:val="en-US"/>
                              </w:rPr>
                              <w:t>prefer</w:t>
                            </w:r>
                            <w:r>
                              <w:rPr>
                                <w:rFonts w:ascii="Times New Roman" w:hAnsi="Times New Roman" w:cs="Times New Roman"/>
                                <w:sz w:val="20"/>
                                <w:szCs w:val="20"/>
                                <w:lang w:val="en-US"/>
                              </w:rPr>
                              <w:t xml:space="preserve"> to limit the membership to those nominated by the members of the Authority, which should be responsible for the participation cost of that member of the Committee following the standard practice in other organs of the Authority as well as in other Commissions under the Convention, such as CLCS. </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4EE845" id="_x0000_s1028" type="#_x0000_t202" style="position:absolute;left:0;text-align:left;margin-left:428.05pt;margin-top:7.2pt;width:479.25pt;height:31.95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">
                <v:textbox style="mso-fit-shape-to-text:t">
                  <w:txbxContent>
                    <w:p w14:paraId="6C090777" w14:textId="3C2F080F" w:rsidR="00644E1D" w:rsidRPr="004D1480" w:rsidRDefault="00644E1D" w:rsidP="005F5E9F">
                      <w:pPr>
                        <w:rPr>
                          <w:rFonts w:ascii="Times New Roman" w:hAnsi="Times New Roman" w:cs="Times New Roman"/>
                          <w:sz w:val="20"/>
                          <w:szCs w:val="20"/>
                          <w:lang w:val="en-US"/>
                        </w:rPr>
                      </w:pPr>
                      <w:r w:rsidRPr="004D1480">
                        <w:rPr>
                          <w:rFonts w:ascii="Times New Roman" w:hAnsi="Times New Roman" w:cs="Times New Roman"/>
                          <w:sz w:val="20"/>
                          <w:szCs w:val="20"/>
                          <w:lang w:val="en-US"/>
                        </w:rPr>
                        <w:t>Comment</w:t>
                      </w:r>
                      <w:r w:rsidR="00751D95">
                        <w:rPr>
                          <w:rFonts w:ascii="Times New Roman" w:hAnsi="Times New Roman" w:cs="Times New Roman"/>
                          <w:sz w:val="20"/>
                          <w:szCs w:val="20"/>
                          <w:lang w:val="en-US"/>
                        </w:rPr>
                        <w:t>s</w:t>
                      </w:r>
                      <w:r w:rsidRPr="004D1480">
                        <w:rPr>
                          <w:rFonts w:ascii="Times New Roman" w:hAnsi="Times New Roman" w:cs="Times New Roman"/>
                          <w:sz w:val="20"/>
                          <w:szCs w:val="20"/>
                          <w:lang w:val="en-US"/>
                        </w:rPr>
                        <w:t xml:space="preserve">: </w:t>
                      </w:r>
                    </w:p>
                    <w:p w14:paraId="3170422A" w14:textId="77777777" w:rsidR="00644E1D" w:rsidRDefault="00644E1D" w:rsidP="005F5E9F">
                      <w:pPr>
                        <w:pStyle w:val="Listeafsnit"/>
                        <w:numPr>
                          <w:ilvl w:val="0"/>
                          <w:numId w:val="8"/>
                        </w:numPr>
                        <w:rPr>
                          <w:rFonts w:ascii="Times New Roman" w:hAnsi="Times New Roman" w:cs="Times New Roman"/>
                          <w:sz w:val="20"/>
                          <w:szCs w:val="20"/>
                          <w:lang w:val="en-US"/>
                        </w:rPr>
                      </w:pPr>
                      <w:r w:rsidRPr="004D1480">
                        <w:rPr>
                          <w:rFonts w:ascii="Times New Roman" w:hAnsi="Times New Roman" w:cs="Times New Roman"/>
                          <w:sz w:val="20"/>
                          <w:szCs w:val="20"/>
                          <w:lang w:val="en-US"/>
                        </w:rPr>
                        <w:t xml:space="preserve">It has been suggested </w:t>
                      </w:r>
                      <w:r>
                        <w:rPr>
                          <w:rFonts w:ascii="Times New Roman" w:hAnsi="Times New Roman" w:cs="Times New Roman"/>
                          <w:sz w:val="20"/>
                          <w:szCs w:val="20"/>
                          <w:lang w:val="en-US"/>
                        </w:rPr>
                        <w:t xml:space="preserve">to add “no more than” before 15 members, as this Committee is tasked with overseeing compliance, whereas the Chief Inspector and the inspectorate will be conducting the operational work. </w:t>
                      </w:r>
                    </w:p>
                    <w:p w14:paraId="3AA70852" w14:textId="5921039F" w:rsidR="00644E1D" w:rsidRPr="004D1480" w:rsidRDefault="00644E1D" w:rsidP="005F5E9F">
                      <w:pPr>
                        <w:pStyle w:val="Listeafsnit"/>
                        <w:numPr>
                          <w:ilvl w:val="0"/>
                          <w:numId w:val="8"/>
                        </w:numPr>
                        <w:rPr>
                          <w:rFonts w:ascii="Times New Roman" w:hAnsi="Times New Roman" w:cs="Times New Roman"/>
                          <w:sz w:val="20"/>
                          <w:szCs w:val="20"/>
                          <w:lang w:val="en-US"/>
                        </w:rPr>
                      </w:pPr>
                      <w:r>
                        <w:rPr>
                          <w:rFonts w:ascii="Times New Roman" w:hAnsi="Times New Roman" w:cs="Times New Roman"/>
                          <w:sz w:val="20"/>
                          <w:szCs w:val="20"/>
                          <w:lang w:val="en-US"/>
                        </w:rPr>
                        <w:t xml:space="preserve">It has been proposed to allow for the election of qualified experts that are not nominated by members of the Authority but would fulfill the qualification requirements. Some participants </w:t>
                      </w:r>
                      <w:r w:rsidR="008E7117">
                        <w:rPr>
                          <w:rFonts w:ascii="Times New Roman" w:hAnsi="Times New Roman" w:cs="Times New Roman"/>
                          <w:sz w:val="20"/>
                          <w:szCs w:val="20"/>
                          <w:lang w:val="en-US"/>
                        </w:rPr>
                        <w:t>prefer</w:t>
                      </w:r>
                      <w:r>
                        <w:rPr>
                          <w:rFonts w:ascii="Times New Roman" w:hAnsi="Times New Roman" w:cs="Times New Roman"/>
                          <w:sz w:val="20"/>
                          <w:szCs w:val="20"/>
                          <w:lang w:val="en-US"/>
                        </w:rPr>
                        <w:t xml:space="preserve"> to limit the membership to those nominated by the members of the Authority, which should be responsible for the participation cost of that member of the Committee following the standard practice in other organs of the Authority as well as in other Commissions under the Convention, such as CLCS. </w:t>
                      </w:r>
                    </w:p>
                  </w:txbxContent>
                </v:textbox>
                <w10:wrap type="square" anchorx="margin"/>
              </v:shape>
            </w:pict>
          </mc:Fallback>
        </mc:AlternateContent>
      </w:r>
    </w:p>
    <w:p w14:paraId="69484701" w14:textId="66BA29D6" w:rsidR="00644E1D" w:rsidRDefault="00644E1D" w:rsidP="005F5E9F">
      <w:pPr>
        <w:ind w:firstLine="1304"/>
        <w:rPr>
          <w:rFonts w:ascii="Times New Roman" w:hAnsi="Times New Roman" w:cs="Times New Roman"/>
          <w:sz w:val="20"/>
          <w:szCs w:val="20"/>
          <w:lang w:val="en-US"/>
        </w:rPr>
      </w:pPr>
      <w:r w:rsidRPr="00684FA0">
        <w:rPr>
          <w:rFonts w:ascii="Times New Roman" w:hAnsi="Times New Roman" w:cs="Times New Roman"/>
          <w:sz w:val="20"/>
          <w:szCs w:val="20"/>
          <w:lang w:val="en-US"/>
        </w:rPr>
        <w:t xml:space="preserve">9. </w:t>
      </w:r>
      <w:r w:rsidRPr="005150E2">
        <w:rPr>
          <w:rFonts w:ascii="Times New Roman" w:hAnsi="Times New Roman" w:cs="Times New Roman"/>
          <w:i/>
          <w:iCs/>
          <w:sz w:val="20"/>
          <w:szCs w:val="20"/>
          <w:lang w:val="en-US"/>
        </w:rPr>
        <w:t>Stresses</w:t>
      </w:r>
      <w:r w:rsidRPr="005150E2">
        <w:rPr>
          <w:rFonts w:ascii="Times New Roman" w:hAnsi="Times New Roman" w:cs="Times New Roman"/>
          <w:sz w:val="20"/>
          <w:szCs w:val="20"/>
          <w:lang w:val="en-US"/>
        </w:rPr>
        <w:t xml:space="preserve"> that the members of the Compliance Committee shall serve in an independent and personal </w:t>
      </w:r>
      <w:r w:rsidR="008E7117" w:rsidRPr="005150E2">
        <w:rPr>
          <w:rFonts w:ascii="Times New Roman" w:hAnsi="Times New Roman" w:cs="Times New Roman"/>
          <w:sz w:val="20"/>
          <w:szCs w:val="20"/>
          <w:lang w:val="en-US"/>
        </w:rPr>
        <w:t>capacity and</w:t>
      </w:r>
      <w:r w:rsidRPr="005150E2">
        <w:rPr>
          <w:rFonts w:ascii="Times New Roman" w:hAnsi="Times New Roman" w:cs="Times New Roman"/>
          <w:sz w:val="20"/>
          <w:szCs w:val="20"/>
          <w:lang w:val="en-US"/>
        </w:rPr>
        <w:t xml:space="preserve"> shall not serve in [any other organs of the Authority or as a member of any delegation]. Members of the Committee shall have no financial interest in any activity relating to exploration and exploitation in the Area, and in particular shall not work for entities that hold exploration or exploitation contracts with the Authority, nor have worked for them in the two years prior to </w:t>
      </w:r>
      <w:r>
        <w:rPr>
          <w:rFonts w:ascii="Times New Roman" w:hAnsi="Times New Roman" w:cs="Times New Roman"/>
          <w:sz w:val="20"/>
          <w:szCs w:val="20"/>
          <w:lang w:val="en-US"/>
        </w:rPr>
        <w:t xml:space="preserve">election </w:t>
      </w:r>
      <w:r w:rsidRPr="005150E2">
        <w:rPr>
          <w:rFonts w:ascii="Times New Roman" w:hAnsi="Times New Roman" w:cs="Times New Roman"/>
          <w:sz w:val="20"/>
          <w:szCs w:val="20"/>
          <w:lang w:val="en-US"/>
        </w:rPr>
        <w:t>to the Committee.</w:t>
      </w:r>
    </w:p>
    <w:p w14:paraId="14D8D519" w14:textId="77777777" w:rsidR="00644E1D" w:rsidRDefault="00644E1D" w:rsidP="005F5E9F">
      <w:pPr>
        <w:ind w:firstLine="1304"/>
        <w:rPr>
          <w:rFonts w:ascii="Times New Roman" w:hAnsi="Times New Roman" w:cs="Times New Roman"/>
          <w:sz w:val="20"/>
          <w:szCs w:val="20"/>
          <w:lang w:val="en-US"/>
        </w:rPr>
      </w:pPr>
      <w:r w:rsidRPr="00263630">
        <w:rPr>
          <w:rFonts w:ascii="Times New Roman" w:hAnsi="Times New Roman" w:cs="Times New Roman"/>
          <w:sz w:val="20"/>
          <w:szCs w:val="20"/>
          <w:lang w:val="en-US"/>
        </w:rPr>
        <w:t>10.</w:t>
      </w:r>
      <w:r>
        <w:rPr>
          <w:rFonts w:ascii="Times New Roman" w:hAnsi="Times New Roman" w:cs="Times New Roman"/>
          <w:i/>
          <w:iCs/>
          <w:sz w:val="20"/>
          <w:szCs w:val="20"/>
          <w:lang w:val="en-US"/>
        </w:rPr>
        <w:t xml:space="preserve"> </w:t>
      </w:r>
      <w:r w:rsidRPr="005150E2">
        <w:rPr>
          <w:rFonts w:ascii="Times New Roman" w:hAnsi="Times New Roman" w:cs="Times New Roman"/>
          <w:i/>
          <w:iCs/>
          <w:sz w:val="20"/>
          <w:szCs w:val="20"/>
          <w:lang w:val="en-US"/>
        </w:rPr>
        <w:t>Underlines</w:t>
      </w:r>
      <w:r>
        <w:rPr>
          <w:rFonts w:ascii="Times New Roman" w:hAnsi="Times New Roman" w:cs="Times New Roman"/>
          <w:sz w:val="20"/>
          <w:szCs w:val="20"/>
          <w:lang w:val="en-US"/>
        </w:rPr>
        <w:t xml:space="preserve"> that the </w:t>
      </w:r>
      <w:r w:rsidRPr="005150E2">
        <w:rPr>
          <w:rFonts w:ascii="Times New Roman" w:hAnsi="Times New Roman" w:cs="Times New Roman"/>
          <w:sz w:val="20"/>
          <w:szCs w:val="20"/>
          <w:lang w:val="en-US"/>
        </w:rPr>
        <w:t>Members of the Committee shall be subject to the Authority’s code of conduct</w:t>
      </w:r>
      <w:r>
        <w:rPr>
          <w:rFonts w:ascii="Times New Roman" w:hAnsi="Times New Roman" w:cs="Times New Roman"/>
          <w:sz w:val="20"/>
          <w:szCs w:val="20"/>
          <w:lang w:val="en-US"/>
        </w:rPr>
        <w:t xml:space="preserve">. </w:t>
      </w:r>
    </w:p>
    <w:p w14:paraId="5D73CA7D" w14:textId="595643B9" w:rsidR="00644E1D" w:rsidRDefault="00644E1D" w:rsidP="005F5E9F">
      <w:pPr>
        <w:ind w:firstLine="1304"/>
        <w:rPr>
          <w:rFonts w:ascii="Times New Roman" w:hAnsi="Times New Roman" w:cs="Times New Roman"/>
          <w:sz w:val="20"/>
          <w:szCs w:val="20"/>
          <w:lang w:val="en-GB"/>
        </w:rPr>
      </w:pPr>
      <w:r>
        <w:rPr>
          <w:noProof/>
          <w:kern w:val="0"/>
          <w:lang w:eastAsia="da-DK"/>
        </w:rPr>
        <mc:AlternateContent>
          <mc:Choice Requires="wps">
            <w:drawing>
              <wp:anchor distT="45720" distB="45720" distL="114300" distR="114300" simplePos="0" relativeHeight="251664384" behindDoc="0" locked="0" layoutInCell="1" allowOverlap="1" wp14:anchorId="5A3D2AD9" wp14:editId="1B1DB1FD">
                <wp:simplePos x="0" y="0"/>
                <wp:positionH relativeFrom="margin">
                  <wp:align>left</wp:align>
                </wp:positionH>
                <wp:positionV relativeFrom="paragraph">
                  <wp:posOffset>427355</wp:posOffset>
                </wp:positionV>
                <wp:extent cx="6076950" cy="405765"/>
                <wp:effectExtent l="0" t="0" r="19050" b="20320"/>
                <wp:wrapSquare wrapText="bothSides"/>
                <wp:docPr id="1052444677"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405765"/>
                        </a:xfrm>
                        <a:prstGeom prst="rect">
                          <a:avLst/>
                        </a:prstGeom>
                        <a:solidFill>
                          <a:srgbClr val="FFFFFF"/>
                        </a:solidFill>
                        <a:ln w="9525">
                          <a:solidFill>
                            <a:srgbClr val="000000"/>
                          </a:solidFill>
                          <a:miter lim="800000"/>
                          <a:headEnd/>
                          <a:tailEnd/>
                        </a:ln>
                      </wps:spPr>
                      <wps:txbx>
                        <w:txbxContent>
                          <w:p w14:paraId="34F6FB12" w14:textId="77777777" w:rsidR="00644E1D" w:rsidRPr="004D1480" w:rsidRDefault="00644E1D" w:rsidP="005F5E9F">
                            <w:pPr>
                              <w:rPr>
                                <w:rFonts w:ascii="Times New Roman" w:hAnsi="Times New Roman" w:cs="Times New Roman"/>
                                <w:sz w:val="20"/>
                                <w:szCs w:val="20"/>
                                <w:lang w:val="en-US"/>
                              </w:rPr>
                            </w:pPr>
                            <w:r w:rsidRPr="004D1480">
                              <w:rPr>
                                <w:rFonts w:ascii="Times New Roman" w:hAnsi="Times New Roman" w:cs="Times New Roman"/>
                                <w:sz w:val="20"/>
                                <w:szCs w:val="20"/>
                                <w:lang w:val="en-US"/>
                              </w:rPr>
                              <w:t xml:space="preserve">Comment: </w:t>
                            </w:r>
                          </w:p>
                          <w:p w14:paraId="020AADBF" w14:textId="23E20160" w:rsidR="00644E1D" w:rsidRPr="00891752" w:rsidRDefault="00644E1D" w:rsidP="005F5E9F">
                            <w:pPr>
                              <w:pStyle w:val="Listeafsnit"/>
                              <w:numPr>
                                <w:ilvl w:val="0"/>
                                <w:numId w:val="8"/>
                              </w:numPr>
                              <w:rPr>
                                <w:rFonts w:ascii="Times New Roman" w:hAnsi="Times New Roman" w:cs="Times New Roman"/>
                                <w:sz w:val="20"/>
                                <w:szCs w:val="20"/>
                                <w:lang w:val="en-US"/>
                              </w:rPr>
                            </w:pPr>
                            <w:r>
                              <w:rPr>
                                <w:rFonts w:ascii="Times New Roman" w:hAnsi="Times New Roman" w:cs="Times New Roman"/>
                                <w:sz w:val="20"/>
                                <w:szCs w:val="20"/>
                                <w:lang w:val="en-US"/>
                              </w:rPr>
                              <w:t xml:space="preserve">In para 11, </w:t>
                            </w:r>
                            <w:r w:rsidR="00751D95">
                              <w:rPr>
                                <w:rFonts w:ascii="Times New Roman" w:hAnsi="Times New Roman" w:cs="Times New Roman"/>
                                <w:sz w:val="20"/>
                                <w:szCs w:val="20"/>
                                <w:lang w:val="en-US"/>
                              </w:rPr>
                              <w:t>i</w:t>
                            </w:r>
                            <w:r>
                              <w:rPr>
                                <w:rFonts w:ascii="Times New Roman" w:hAnsi="Times New Roman" w:cs="Times New Roman"/>
                                <w:sz w:val="20"/>
                                <w:szCs w:val="20"/>
                                <w:lang w:val="en-US"/>
                              </w:rPr>
                              <w:t>t should be considered whether it should be the Chief Inspect</w:t>
                            </w:r>
                            <w:r w:rsidR="009663DD">
                              <w:rPr>
                                <w:rFonts w:ascii="Times New Roman" w:hAnsi="Times New Roman" w:cs="Times New Roman"/>
                                <w:sz w:val="20"/>
                                <w:szCs w:val="20"/>
                                <w:lang w:val="en-US"/>
                              </w:rPr>
                              <w:t>or</w:t>
                            </w:r>
                            <w:r>
                              <w:rPr>
                                <w:rFonts w:ascii="Times New Roman" w:hAnsi="Times New Roman" w:cs="Times New Roman"/>
                                <w:sz w:val="20"/>
                                <w:szCs w:val="20"/>
                                <w:lang w:val="en-US"/>
                              </w:rPr>
                              <w:t xml:space="preserve"> or the Legal and Technical Commission given that inspection falls under the competence of the Commission. There seems to be most support for the Chief Inspector. </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3D2AD9" id="_x0000_s1029" type="#_x0000_t202" style="position:absolute;left:0;text-align:left;margin-left:0;margin-top:33.65pt;width:478.5pt;height:31.95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">
                <v:textbox style="mso-fit-shape-to-text:t">
                  <w:txbxContent>
                    <w:p w14:paraId="34F6FB12" w14:textId="77777777" w:rsidR="00644E1D" w:rsidRPr="004D1480" w:rsidRDefault="00644E1D" w:rsidP="005F5E9F">
                      <w:pPr>
                        <w:rPr>
                          <w:rFonts w:ascii="Times New Roman" w:hAnsi="Times New Roman" w:cs="Times New Roman"/>
                          <w:sz w:val="20"/>
                          <w:szCs w:val="20"/>
                          <w:lang w:val="en-US"/>
                        </w:rPr>
                      </w:pPr>
                      <w:r w:rsidRPr="004D1480">
                        <w:rPr>
                          <w:rFonts w:ascii="Times New Roman" w:hAnsi="Times New Roman" w:cs="Times New Roman"/>
                          <w:sz w:val="20"/>
                          <w:szCs w:val="20"/>
                          <w:lang w:val="en-US"/>
                        </w:rPr>
                        <w:t xml:space="preserve">Comment: </w:t>
                      </w:r>
                    </w:p>
                    <w:p w14:paraId="020AADBF" w14:textId="23E20160" w:rsidR="00644E1D" w:rsidRPr="00891752" w:rsidRDefault="00644E1D" w:rsidP="005F5E9F">
                      <w:pPr>
                        <w:pStyle w:val="Listeafsnit"/>
                        <w:numPr>
                          <w:ilvl w:val="0"/>
                          <w:numId w:val="8"/>
                        </w:numPr>
                        <w:rPr>
                          <w:rFonts w:ascii="Times New Roman" w:hAnsi="Times New Roman" w:cs="Times New Roman"/>
                          <w:sz w:val="20"/>
                          <w:szCs w:val="20"/>
                          <w:lang w:val="en-US"/>
                        </w:rPr>
                      </w:pPr>
                      <w:r>
                        <w:rPr>
                          <w:rFonts w:ascii="Times New Roman" w:hAnsi="Times New Roman" w:cs="Times New Roman"/>
                          <w:sz w:val="20"/>
                          <w:szCs w:val="20"/>
                          <w:lang w:val="en-US"/>
                        </w:rPr>
                        <w:t xml:space="preserve">In para 11, </w:t>
                      </w:r>
                      <w:r w:rsidR="00751D95">
                        <w:rPr>
                          <w:rFonts w:ascii="Times New Roman" w:hAnsi="Times New Roman" w:cs="Times New Roman"/>
                          <w:sz w:val="20"/>
                          <w:szCs w:val="20"/>
                          <w:lang w:val="en-US"/>
                        </w:rPr>
                        <w:t>i</w:t>
                      </w:r>
                      <w:r>
                        <w:rPr>
                          <w:rFonts w:ascii="Times New Roman" w:hAnsi="Times New Roman" w:cs="Times New Roman"/>
                          <w:sz w:val="20"/>
                          <w:szCs w:val="20"/>
                          <w:lang w:val="en-US"/>
                        </w:rPr>
                        <w:t>t should be considered whether it should be the Chief Inspect</w:t>
                      </w:r>
                      <w:r w:rsidR="009663DD">
                        <w:rPr>
                          <w:rFonts w:ascii="Times New Roman" w:hAnsi="Times New Roman" w:cs="Times New Roman"/>
                          <w:sz w:val="20"/>
                          <w:szCs w:val="20"/>
                          <w:lang w:val="en-US"/>
                        </w:rPr>
                        <w:t>or</w:t>
                      </w:r>
                      <w:r>
                        <w:rPr>
                          <w:rFonts w:ascii="Times New Roman" w:hAnsi="Times New Roman" w:cs="Times New Roman"/>
                          <w:sz w:val="20"/>
                          <w:szCs w:val="20"/>
                          <w:lang w:val="en-US"/>
                        </w:rPr>
                        <w:t xml:space="preserve"> or the Legal and Technical Commission given that inspection falls under the competence of the Commission. There seems to be most support for the Chief Inspector. </w:t>
                      </w:r>
                    </w:p>
                  </w:txbxContent>
                </v:textbox>
                <w10:wrap type="square" anchorx="margin"/>
              </v:shape>
            </w:pict>
          </mc:Fallback>
        </mc:AlternateContent>
      </w:r>
      <w:r w:rsidRPr="00263630">
        <w:rPr>
          <w:rFonts w:ascii="Times New Roman" w:hAnsi="Times New Roman" w:cs="Times New Roman"/>
          <w:sz w:val="20"/>
          <w:szCs w:val="20"/>
          <w:lang w:val="en-US"/>
        </w:rPr>
        <w:t>11.</w:t>
      </w:r>
      <w:r>
        <w:rPr>
          <w:rFonts w:ascii="Times New Roman" w:hAnsi="Times New Roman" w:cs="Times New Roman"/>
          <w:i/>
          <w:iCs/>
          <w:sz w:val="20"/>
          <w:szCs w:val="20"/>
          <w:lang w:val="en-US"/>
        </w:rPr>
        <w:t xml:space="preserve"> </w:t>
      </w:r>
      <w:r w:rsidRPr="00317BE2">
        <w:rPr>
          <w:rFonts w:ascii="Times New Roman" w:hAnsi="Times New Roman" w:cs="Times New Roman"/>
          <w:i/>
          <w:iCs/>
          <w:sz w:val="20"/>
          <w:szCs w:val="20"/>
          <w:lang w:val="en-US"/>
        </w:rPr>
        <w:t>Request</w:t>
      </w:r>
      <w:r>
        <w:rPr>
          <w:rFonts w:ascii="Times New Roman" w:hAnsi="Times New Roman" w:cs="Times New Roman"/>
          <w:sz w:val="20"/>
          <w:szCs w:val="20"/>
          <w:lang w:val="en-US"/>
        </w:rPr>
        <w:t>s that t</w:t>
      </w:r>
      <w:r w:rsidRPr="00317BE2">
        <w:rPr>
          <w:rFonts w:ascii="Times New Roman" w:hAnsi="Times New Roman" w:cs="Times New Roman"/>
          <w:sz w:val="20"/>
          <w:szCs w:val="20"/>
          <w:lang w:val="en-GB"/>
        </w:rPr>
        <w:t xml:space="preserve">he </w:t>
      </w:r>
      <w:r>
        <w:rPr>
          <w:rFonts w:ascii="Times New Roman" w:hAnsi="Times New Roman" w:cs="Times New Roman"/>
          <w:sz w:val="20"/>
          <w:szCs w:val="20"/>
          <w:lang w:val="en-GB"/>
        </w:rPr>
        <w:t>[</w:t>
      </w:r>
      <w:r w:rsidRPr="00317BE2">
        <w:rPr>
          <w:rFonts w:ascii="Times New Roman" w:hAnsi="Times New Roman" w:cs="Times New Roman"/>
          <w:sz w:val="20"/>
          <w:szCs w:val="20"/>
          <w:lang w:val="en-GB"/>
        </w:rPr>
        <w:t>Chief Inspector of the Authority</w:t>
      </w:r>
      <w:r>
        <w:rPr>
          <w:rFonts w:ascii="Times New Roman" w:hAnsi="Times New Roman" w:cs="Times New Roman"/>
          <w:sz w:val="20"/>
          <w:szCs w:val="20"/>
          <w:lang w:val="en-GB"/>
        </w:rPr>
        <w:t>]</w:t>
      </w:r>
      <w:r w:rsidRPr="00317BE2">
        <w:rPr>
          <w:rFonts w:ascii="Times New Roman" w:hAnsi="Times New Roman" w:cs="Times New Roman"/>
          <w:sz w:val="20"/>
          <w:szCs w:val="20"/>
          <w:lang w:val="en-GB"/>
        </w:rPr>
        <w:t xml:space="preserve"> shall report to and be accountable to the Committee. </w:t>
      </w:r>
    </w:p>
    <w:p w14:paraId="3E2C1645" w14:textId="77777777" w:rsidR="00644E1D" w:rsidRDefault="00644E1D" w:rsidP="005F5E9F">
      <w:pPr>
        <w:ind w:firstLine="1304"/>
        <w:rPr>
          <w:rFonts w:ascii="Times New Roman" w:hAnsi="Times New Roman" w:cs="Times New Roman"/>
          <w:sz w:val="20"/>
          <w:szCs w:val="20"/>
          <w:lang w:val="en-US"/>
        </w:rPr>
      </w:pPr>
    </w:p>
    <w:p w14:paraId="3C5F2E62" w14:textId="496FD84E" w:rsidR="00644E1D" w:rsidRPr="00317BE2" w:rsidRDefault="009663DD" w:rsidP="005F5E9F">
      <w:pPr>
        <w:ind w:firstLine="1304"/>
        <w:rPr>
          <w:rFonts w:ascii="Times New Roman" w:hAnsi="Times New Roman" w:cs="Times New Roman"/>
          <w:sz w:val="20"/>
          <w:szCs w:val="20"/>
          <w:lang w:val="en-US"/>
        </w:rPr>
      </w:pPr>
      <w:r>
        <w:rPr>
          <w:noProof/>
          <w:kern w:val="0"/>
          <w:lang w:eastAsia="da-DK"/>
        </w:rPr>
        <mc:AlternateContent>
          <mc:Choice Requires="wps">
            <w:drawing>
              <wp:anchor distT="45720" distB="45720" distL="114300" distR="114300" simplePos="0" relativeHeight="251662336" behindDoc="0" locked="0" layoutInCell="1" allowOverlap="1" wp14:anchorId="10F95D00" wp14:editId="1F9EF8B7">
                <wp:simplePos x="0" y="0"/>
                <wp:positionH relativeFrom="margin">
                  <wp:align>right</wp:align>
                </wp:positionH>
                <wp:positionV relativeFrom="paragraph">
                  <wp:posOffset>550545</wp:posOffset>
                </wp:positionV>
                <wp:extent cx="6096000" cy="405765"/>
                <wp:effectExtent l="0" t="0" r="19050" b="20320"/>
                <wp:wrapSquare wrapText="bothSides"/>
                <wp:docPr id="2086646683"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05765"/>
                        </a:xfrm>
                        <a:prstGeom prst="rect">
                          <a:avLst/>
                        </a:prstGeom>
                        <a:solidFill>
                          <a:srgbClr val="FFFFFF"/>
                        </a:solidFill>
                        <a:ln w="9525">
                          <a:solidFill>
                            <a:srgbClr val="000000"/>
                          </a:solidFill>
                          <a:miter lim="800000"/>
                          <a:headEnd/>
                          <a:tailEnd/>
                        </a:ln>
                      </wps:spPr>
                      <wps:txbx>
                        <w:txbxContent>
                          <w:p w14:paraId="6EB82172" w14:textId="77777777" w:rsidR="00644E1D" w:rsidRPr="004D1480" w:rsidRDefault="00644E1D" w:rsidP="005F5E9F">
                            <w:pPr>
                              <w:rPr>
                                <w:rFonts w:ascii="Times New Roman" w:hAnsi="Times New Roman" w:cs="Times New Roman"/>
                                <w:sz w:val="20"/>
                                <w:szCs w:val="20"/>
                                <w:lang w:val="en-US"/>
                              </w:rPr>
                            </w:pPr>
                            <w:r w:rsidRPr="004D1480">
                              <w:rPr>
                                <w:rFonts w:ascii="Times New Roman" w:hAnsi="Times New Roman" w:cs="Times New Roman"/>
                                <w:sz w:val="20"/>
                                <w:szCs w:val="20"/>
                                <w:lang w:val="en-US"/>
                              </w:rPr>
                              <w:t xml:space="preserve">Comment: </w:t>
                            </w:r>
                          </w:p>
                          <w:p w14:paraId="28E800F0" w14:textId="0C46B373" w:rsidR="00644E1D" w:rsidRPr="00891752" w:rsidRDefault="00644E1D" w:rsidP="005F5E9F">
                            <w:pPr>
                              <w:pStyle w:val="Listeafsnit"/>
                              <w:numPr>
                                <w:ilvl w:val="0"/>
                                <w:numId w:val="8"/>
                              </w:numPr>
                              <w:rPr>
                                <w:rFonts w:ascii="Times New Roman" w:hAnsi="Times New Roman" w:cs="Times New Roman"/>
                                <w:sz w:val="20"/>
                                <w:szCs w:val="20"/>
                                <w:lang w:val="en-US"/>
                              </w:rPr>
                            </w:pPr>
                            <w:r>
                              <w:rPr>
                                <w:rFonts w:ascii="Times New Roman" w:hAnsi="Times New Roman" w:cs="Times New Roman"/>
                                <w:sz w:val="20"/>
                                <w:szCs w:val="20"/>
                                <w:lang w:val="en-US"/>
                              </w:rPr>
                              <w:t xml:space="preserve">It has been suggested that the Compliance Committee only should develop and apply the Compliance Strategy, but not the Authority’s Inspection </w:t>
                            </w:r>
                            <w:r w:rsidR="008E7117">
                              <w:rPr>
                                <w:rFonts w:ascii="Times New Roman" w:hAnsi="Times New Roman" w:cs="Times New Roman"/>
                                <w:sz w:val="20"/>
                                <w:szCs w:val="20"/>
                                <w:lang w:val="en-US"/>
                              </w:rPr>
                              <w:t>Program</w:t>
                            </w:r>
                            <w:r>
                              <w:rPr>
                                <w:rFonts w:ascii="Times New Roman" w:hAnsi="Times New Roman" w:cs="Times New Roman"/>
                                <w:sz w:val="20"/>
                                <w:szCs w:val="20"/>
                                <w:lang w:val="en-US"/>
                              </w:rPr>
                              <w:t xml:space="preserve">, which would fall under the functions of other organs. It has therefore been placed in brackets for further consideration. </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F95D00" id="_x0000_s1030" type="#_x0000_t202" style="position:absolute;left:0;text-align:left;margin-left:428.8pt;margin-top:43.35pt;width:480pt;height:31.95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">
                <v:textbox style="mso-fit-shape-to-text:t">
                  <w:txbxContent>
                    <w:p w14:paraId="6EB82172" w14:textId="77777777" w:rsidR="00644E1D" w:rsidRPr="004D1480" w:rsidRDefault="00644E1D" w:rsidP="005F5E9F">
                      <w:pPr>
                        <w:rPr>
                          <w:rFonts w:ascii="Times New Roman" w:hAnsi="Times New Roman" w:cs="Times New Roman"/>
                          <w:sz w:val="20"/>
                          <w:szCs w:val="20"/>
                          <w:lang w:val="en-US"/>
                        </w:rPr>
                      </w:pPr>
                      <w:r w:rsidRPr="004D1480">
                        <w:rPr>
                          <w:rFonts w:ascii="Times New Roman" w:hAnsi="Times New Roman" w:cs="Times New Roman"/>
                          <w:sz w:val="20"/>
                          <w:szCs w:val="20"/>
                          <w:lang w:val="en-US"/>
                        </w:rPr>
                        <w:t xml:space="preserve">Comment: </w:t>
                      </w:r>
                    </w:p>
                    <w:p w14:paraId="28E800F0" w14:textId="0C46B373" w:rsidR="00644E1D" w:rsidRPr="00891752" w:rsidRDefault="00644E1D" w:rsidP="005F5E9F">
                      <w:pPr>
                        <w:pStyle w:val="Listeafsnit"/>
                        <w:numPr>
                          <w:ilvl w:val="0"/>
                          <w:numId w:val="8"/>
                        </w:numPr>
                        <w:rPr>
                          <w:rFonts w:ascii="Times New Roman" w:hAnsi="Times New Roman" w:cs="Times New Roman"/>
                          <w:sz w:val="20"/>
                          <w:szCs w:val="20"/>
                          <w:lang w:val="en-US"/>
                        </w:rPr>
                      </w:pPr>
                      <w:r>
                        <w:rPr>
                          <w:rFonts w:ascii="Times New Roman" w:hAnsi="Times New Roman" w:cs="Times New Roman"/>
                          <w:sz w:val="20"/>
                          <w:szCs w:val="20"/>
                          <w:lang w:val="en-US"/>
                        </w:rPr>
                        <w:t xml:space="preserve">It has been suggested that the Compliance Committee only should develop and apply the Compliance Strategy, but not the Authority’s Inspection </w:t>
                      </w:r>
                      <w:r w:rsidR="008E7117">
                        <w:rPr>
                          <w:rFonts w:ascii="Times New Roman" w:hAnsi="Times New Roman" w:cs="Times New Roman"/>
                          <w:sz w:val="20"/>
                          <w:szCs w:val="20"/>
                          <w:lang w:val="en-US"/>
                        </w:rPr>
                        <w:t>Program</w:t>
                      </w:r>
                      <w:r>
                        <w:rPr>
                          <w:rFonts w:ascii="Times New Roman" w:hAnsi="Times New Roman" w:cs="Times New Roman"/>
                          <w:sz w:val="20"/>
                          <w:szCs w:val="20"/>
                          <w:lang w:val="en-US"/>
                        </w:rPr>
                        <w:t xml:space="preserve">, which would fall under the functions of other organs. It has therefore been placed in brackets for further consideration. </w:t>
                      </w:r>
                    </w:p>
                  </w:txbxContent>
                </v:textbox>
                <w10:wrap type="square" anchorx="margin"/>
              </v:shape>
            </w:pict>
          </mc:Fallback>
        </mc:AlternateContent>
      </w:r>
      <w:r w:rsidR="00644E1D">
        <w:rPr>
          <w:rFonts w:ascii="Times New Roman" w:hAnsi="Times New Roman" w:cs="Times New Roman"/>
          <w:sz w:val="20"/>
          <w:szCs w:val="20"/>
          <w:lang w:val="en-US"/>
        </w:rPr>
        <w:t xml:space="preserve">12. </w:t>
      </w:r>
      <w:r w:rsidR="00644E1D" w:rsidRPr="00531B0A">
        <w:rPr>
          <w:rFonts w:ascii="Times New Roman" w:hAnsi="Times New Roman" w:cs="Times New Roman"/>
          <w:i/>
          <w:iCs/>
          <w:sz w:val="20"/>
          <w:szCs w:val="20"/>
          <w:lang w:val="en-US"/>
        </w:rPr>
        <w:t>Deci</w:t>
      </w:r>
      <w:r w:rsidR="00644E1D">
        <w:rPr>
          <w:rFonts w:ascii="Times New Roman" w:hAnsi="Times New Roman" w:cs="Times New Roman"/>
          <w:i/>
          <w:iCs/>
          <w:sz w:val="20"/>
          <w:szCs w:val="20"/>
          <w:lang w:val="en-US"/>
        </w:rPr>
        <w:t>des</w:t>
      </w:r>
      <w:r w:rsidR="00644E1D">
        <w:rPr>
          <w:rFonts w:ascii="Times New Roman" w:hAnsi="Times New Roman" w:cs="Times New Roman"/>
          <w:sz w:val="20"/>
          <w:szCs w:val="20"/>
          <w:lang w:val="en-US"/>
        </w:rPr>
        <w:t xml:space="preserve"> that the Committee shall prepare and submit a Compliance Strategy to the Council for consideration and approval, which shall be reviewed every 5 years. </w:t>
      </w:r>
    </w:p>
    <w:p w14:paraId="3EAB120C" w14:textId="77777777" w:rsidR="008E7117" w:rsidRDefault="008E7117" w:rsidP="005F5E9F">
      <w:pPr>
        <w:ind w:firstLine="1304"/>
        <w:rPr>
          <w:rFonts w:ascii="Times New Roman" w:hAnsi="Times New Roman" w:cs="Times New Roman"/>
          <w:sz w:val="20"/>
          <w:szCs w:val="20"/>
          <w:lang w:val="en"/>
        </w:rPr>
      </w:pPr>
    </w:p>
    <w:p w14:paraId="52D034B6" w14:textId="262398D6" w:rsidR="00644E1D" w:rsidRDefault="00644E1D" w:rsidP="005F5E9F">
      <w:pPr>
        <w:ind w:firstLine="1304"/>
        <w:rPr>
          <w:rFonts w:ascii="Times New Roman" w:hAnsi="Times New Roman" w:cs="Times New Roman"/>
          <w:sz w:val="20"/>
          <w:szCs w:val="20"/>
          <w:lang w:val="en-US"/>
        </w:rPr>
      </w:pPr>
      <w:r>
        <w:rPr>
          <w:rFonts w:ascii="Times New Roman" w:hAnsi="Times New Roman" w:cs="Times New Roman"/>
          <w:sz w:val="20"/>
          <w:szCs w:val="20"/>
          <w:lang w:val="en"/>
        </w:rPr>
        <w:t>1</w:t>
      </w:r>
      <w:r w:rsidR="009663DD">
        <w:rPr>
          <w:rFonts w:ascii="Times New Roman" w:hAnsi="Times New Roman" w:cs="Times New Roman"/>
          <w:sz w:val="20"/>
          <w:szCs w:val="20"/>
          <w:lang w:val="en"/>
        </w:rPr>
        <w:t>3</w:t>
      </w:r>
      <w:r>
        <w:rPr>
          <w:rFonts w:ascii="Times New Roman" w:hAnsi="Times New Roman" w:cs="Times New Roman"/>
          <w:sz w:val="20"/>
          <w:szCs w:val="20"/>
          <w:lang w:val="en"/>
        </w:rPr>
        <w:t xml:space="preserve">. </w:t>
      </w:r>
      <w:r w:rsidRPr="005150E2">
        <w:rPr>
          <w:rFonts w:ascii="Times New Roman" w:hAnsi="Times New Roman" w:cs="Times New Roman"/>
          <w:i/>
          <w:iCs/>
          <w:sz w:val="20"/>
          <w:szCs w:val="20"/>
          <w:lang w:val="en"/>
        </w:rPr>
        <w:t>Stresses</w:t>
      </w:r>
      <w:r w:rsidRPr="005150E2">
        <w:rPr>
          <w:rFonts w:ascii="Times New Roman" w:hAnsi="Times New Roman" w:cs="Times New Roman"/>
          <w:sz w:val="20"/>
          <w:szCs w:val="20"/>
          <w:lang w:val="en"/>
        </w:rPr>
        <w:t xml:space="preserve"> that the functioning of the Compliance Committee shall not prejudice the competence of the Legal and Technical Commission under the Convention. For that purpose, the Compliance Committee and the Commission shall consult, and cooperate, without any delay, with each other to avoid potentially overlapping competences. [</w:t>
      </w:r>
      <w:r w:rsidRPr="005150E2">
        <w:rPr>
          <w:rFonts w:ascii="Times New Roman" w:hAnsi="Times New Roman" w:cs="Times New Roman"/>
          <w:sz w:val="20"/>
          <w:szCs w:val="20"/>
          <w:lang w:val="en-US"/>
        </w:rPr>
        <w:t>In the event of issues arising from such overlapping competences the two bodies shall jointly or separately report such issues to the Council which shall determine a solution.]</w:t>
      </w:r>
    </w:p>
    <w:p w14:paraId="18830E86" w14:textId="256007C3" w:rsidR="00644E1D" w:rsidRDefault="009663DD" w:rsidP="005F5E9F">
      <w:pPr>
        <w:ind w:firstLine="1304"/>
        <w:rPr>
          <w:rFonts w:ascii="Times New Roman" w:hAnsi="Times New Roman" w:cs="Times New Roman"/>
          <w:sz w:val="20"/>
          <w:szCs w:val="20"/>
          <w:lang w:val="en-US"/>
        </w:rPr>
      </w:pPr>
      <w:r>
        <w:rPr>
          <w:noProof/>
          <w:kern w:val="0"/>
          <w:lang w:eastAsia="da-DK"/>
        </w:rPr>
        <w:lastRenderedPageBreak/>
        <mc:AlternateContent>
          <mc:Choice Requires="wps">
            <w:drawing>
              <wp:anchor distT="45720" distB="45720" distL="114300" distR="114300" simplePos="0" relativeHeight="251663360" behindDoc="0" locked="0" layoutInCell="1" allowOverlap="1" wp14:anchorId="2439898B" wp14:editId="66BBE3DF">
                <wp:simplePos x="0" y="0"/>
                <wp:positionH relativeFrom="margin">
                  <wp:align>right</wp:align>
                </wp:positionH>
                <wp:positionV relativeFrom="paragraph">
                  <wp:posOffset>321310</wp:posOffset>
                </wp:positionV>
                <wp:extent cx="6086475" cy="2333625"/>
                <wp:effectExtent l="0" t="0" r="28575" b="28575"/>
                <wp:wrapSquare wrapText="bothSides"/>
                <wp:docPr id="10895546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333625"/>
                        </a:xfrm>
                        <a:prstGeom prst="rect">
                          <a:avLst/>
                        </a:prstGeom>
                        <a:solidFill>
                          <a:srgbClr val="FFFFFF"/>
                        </a:solidFill>
                        <a:ln w="9525">
                          <a:solidFill>
                            <a:srgbClr val="000000"/>
                          </a:solidFill>
                          <a:miter lim="800000"/>
                          <a:headEnd/>
                          <a:tailEnd/>
                        </a:ln>
                      </wps:spPr>
                      <wps:txbx>
                        <w:txbxContent>
                          <w:p w14:paraId="6778BE98" w14:textId="0F5F0611" w:rsidR="00644E1D" w:rsidRPr="002B1C16" w:rsidRDefault="00644E1D" w:rsidP="005F5E9F">
                            <w:pPr>
                              <w:rPr>
                                <w:rFonts w:ascii="Times New Roman" w:hAnsi="Times New Roman" w:cs="Times New Roman"/>
                                <w:sz w:val="20"/>
                                <w:szCs w:val="20"/>
                                <w:lang w:val="en-US"/>
                              </w:rPr>
                            </w:pPr>
                            <w:r w:rsidRPr="002B1C16">
                              <w:rPr>
                                <w:rFonts w:ascii="Times New Roman" w:hAnsi="Times New Roman" w:cs="Times New Roman"/>
                                <w:sz w:val="20"/>
                                <w:szCs w:val="20"/>
                                <w:lang w:val="en-US"/>
                              </w:rPr>
                              <w:t>Comment</w:t>
                            </w:r>
                            <w:r w:rsidR="008E7117">
                              <w:rPr>
                                <w:rFonts w:ascii="Times New Roman" w:hAnsi="Times New Roman" w:cs="Times New Roman"/>
                                <w:sz w:val="20"/>
                                <w:szCs w:val="20"/>
                                <w:lang w:val="en-US"/>
                              </w:rPr>
                              <w:t>s</w:t>
                            </w:r>
                            <w:r w:rsidRPr="002B1C16">
                              <w:rPr>
                                <w:rFonts w:ascii="Times New Roman" w:hAnsi="Times New Roman" w:cs="Times New Roman"/>
                                <w:sz w:val="20"/>
                                <w:szCs w:val="20"/>
                                <w:lang w:val="en-US"/>
                              </w:rPr>
                              <w:t xml:space="preserve">: </w:t>
                            </w:r>
                          </w:p>
                          <w:p w14:paraId="1E34AB08" w14:textId="77777777" w:rsidR="00644E1D" w:rsidRDefault="00644E1D" w:rsidP="005F5E9F">
                            <w:pPr>
                              <w:pStyle w:val="Listeafsnit"/>
                              <w:numPr>
                                <w:ilvl w:val="0"/>
                                <w:numId w:val="8"/>
                              </w:numPr>
                              <w:spacing w:after="0" w:line="240" w:lineRule="auto"/>
                              <w:rPr>
                                <w:rFonts w:ascii="Times New Roman" w:eastAsia="Times New Roman" w:hAnsi="Times New Roman" w:cs="Times New Roman"/>
                                <w:kern w:val="0"/>
                                <w:sz w:val="20"/>
                                <w:szCs w:val="20"/>
                                <w:lang w:val="en-US" w:eastAsia="da-DK"/>
                                <w14:ligatures w14:val="none"/>
                              </w:rPr>
                            </w:pPr>
                            <w:r w:rsidRPr="002B1C16">
                              <w:rPr>
                                <w:rFonts w:ascii="Times New Roman" w:eastAsia="Times New Roman" w:hAnsi="Times New Roman" w:cs="Times New Roman"/>
                                <w:kern w:val="0"/>
                                <w:sz w:val="20"/>
                                <w:szCs w:val="20"/>
                                <w:lang w:val="en-US" w:eastAsia="da-DK"/>
                                <w14:ligatures w14:val="none"/>
                              </w:rPr>
                              <w:t>The final sentence is placed in brackets because further study is needed regarding the overlapping competencies and their implications. In this respect, Article 163(9) of the Convention should be recalled. Both the Legal and Technical Commission and the future Compliance Committee are subsidiary organs of the Council. Accordingly, the Council bears responsibility - through its guidelines and directives to these subsidiary bodies - for ensuring that no conflict of competence arises. Consequently, each subsidiary body may have implications and a role to play, for example through consultation, to define the exercise of their respective functions in accordance with the Regulations on exploitation, the Convention, the Council's decision on the Compliance Committee, and in a manner that avoids any conflict of competence.</w:t>
                            </w:r>
                          </w:p>
                          <w:p w14:paraId="65921544" w14:textId="77777777" w:rsidR="00644E1D" w:rsidRPr="002B1C16" w:rsidRDefault="00644E1D" w:rsidP="005F5E9F">
                            <w:pPr>
                              <w:pStyle w:val="Listeafsnit"/>
                              <w:numPr>
                                <w:ilvl w:val="0"/>
                                <w:numId w:val="8"/>
                              </w:numPr>
                              <w:spacing w:after="0" w:line="240" w:lineRule="auto"/>
                              <w:rPr>
                                <w:rFonts w:ascii="Times New Roman" w:eastAsia="Times New Roman" w:hAnsi="Times New Roman" w:cs="Times New Roman"/>
                                <w:kern w:val="0"/>
                                <w:sz w:val="20"/>
                                <w:szCs w:val="20"/>
                                <w:lang w:val="en-US" w:eastAsia="da-DK"/>
                                <w14:ligatures w14:val="none"/>
                              </w:rPr>
                            </w:pPr>
                            <w:r>
                              <w:rPr>
                                <w:rFonts w:ascii="Times New Roman" w:eastAsia="Times New Roman" w:hAnsi="Times New Roman" w:cs="Times New Roman"/>
                                <w:kern w:val="0"/>
                                <w:sz w:val="20"/>
                                <w:szCs w:val="20"/>
                                <w:lang w:val="en-US" w:eastAsia="da-DK"/>
                                <w14:ligatures w14:val="none"/>
                              </w:rPr>
                              <w:t xml:space="preserve">A proposal was put forward to regulate the possibility of amending the decision by a new decision. However, this is always an option for the Council and might therefore be redundant. It was also proposed to insert a para on placing a provision in the budget. Any decision having a financial implication requires a recommendation from the Finance Committee to Council and Assembly, and therefore there might not necessarily be a need for regulating that in this decision.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9898B" id="_x0000_s1031" type="#_x0000_t202" style="position:absolute;left:0;text-align:left;margin-left:428.05pt;margin-top:25.3pt;width:479.25pt;height:183.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">
                <v:textbox>
                  <w:txbxContent>
                    <w:p w14:paraId="6778BE98" w14:textId="0F5F0611" w:rsidR="00644E1D" w:rsidRPr="002B1C16" w:rsidRDefault="00644E1D" w:rsidP="005F5E9F">
                      <w:pPr>
                        <w:rPr>
                          <w:rFonts w:ascii="Times New Roman" w:hAnsi="Times New Roman" w:cs="Times New Roman"/>
                          <w:sz w:val="20"/>
                          <w:szCs w:val="20"/>
                          <w:lang w:val="en-US"/>
                        </w:rPr>
                      </w:pPr>
                      <w:r w:rsidRPr="002B1C16">
                        <w:rPr>
                          <w:rFonts w:ascii="Times New Roman" w:hAnsi="Times New Roman" w:cs="Times New Roman"/>
                          <w:sz w:val="20"/>
                          <w:szCs w:val="20"/>
                          <w:lang w:val="en-US"/>
                        </w:rPr>
                        <w:t>Comment</w:t>
                      </w:r>
                      <w:r w:rsidR="008E7117">
                        <w:rPr>
                          <w:rFonts w:ascii="Times New Roman" w:hAnsi="Times New Roman" w:cs="Times New Roman"/>
                          <w:sz w:val="20"/>
                          <w:szCs w:val="20"/>
                          <w:lang w:val="en-US"/>
                        </w:rPr>
                        <w:t>s</w:t>
                      </w:r>
                      <w:r w:rsidRPr="002B1C16">
                        <w:rPr>
                          <w:rFonts w:ascii="Times New Roman" w:hAnsi="Times New Roman" w:cs="Times New Roman"/>
                          <w:sz w:val="20"/>
                          <w:szCs w:val="20"/>
                          <w:lang w:val="en-US"/>
                        </w:rPr>
                        <w:t xml:space="preserve">: </w:t>
                      </w:r>
                    </w:p>
                    <w:p w14:paraId="1E34AB08" w14:textId="77777777" w:rsidR="00644E1D" w:rsidRDefault="00644E1D" w:rsidP="005F5E9F">
                      <w:pPr>
                        <w:pStyle w:val="Listeafsnit"/>
                        <w:numPr>
                          <w:ilvl w:val="0"/>
                          <w:numId w:val="8"/>
                        </w:numPr>
                        <w:spacing w:after="0" w:line="240" w:lineRule="auto"/>
                        <w:rPr>
                          <w:rFonts w:ascii="Times New Roman" w:eastAsia="Times New Roman" w:hAnsi="Times New Roman" w:cs="Times New Roman"/>
                          <w:kern w:val="0"/>
                          <w:sz w:val="20"/>
                          <w:szCs w:val="20"/>
                          <w:lang w:val="en-US" w:eastAsia="da-DK"/>
                          <w14:ligatures w14:val="none"/>
                        </w:rPr>
                      </w:pPr>
                      <w:r w:rsidRPr="002B1C16">
                        <w:rPr>
                          <w:rFonts w:ascii="Times New Roman" w:eastAsia="Times New Roman" w:hAnsi="Times New Roman" w:cs="Times New Roman"/>
                          <w:kern w:val="0"/>
                          <w:sz w:val="20"/>
                          <w:szCs w:val="20"/>
                          <w:lang w:val="en-US" w:eastAsia="da-DK"/>
                          <w14:ligatures w14:val="none"/>
                        </w:rPr>
                        <w:t>The final sentence is placed in brackets because further study is needed regarding the overlapping competencies and their implications. In this respect, Article 163(9) of the Convention should be recalled. Both the Legal and Technical Commission and the future Compliance Committee are subsidiary organs of the Council. Accordingly, the Council bears responsibility - through its guidelines and directives to these subsidiary bodies - for ensuring that no conflict of competence arises. Consequently, each subsidiary body may have implications and a role to play, for example through consultation, to define the exercise of their respective functions in accordance with the Regulations on exploitation, the Convention, the Council's decision on the Compliance Committee, and in a manner that avoids any conflict of competence.</w:t>
                      </w:r>
                    </w:p>
                    <w:p w14:paraId="65921544" w14:textId="77777777" w:rsidR="00644E1D" w:rsidRPr="002B1C16" w:rsidRDefault="00644E1D" w:rsidP="005F5E9F">
                      <w:pPr>
                        <w:pStyle w:val="Listeafsnit"/>
                        <w:numPr>
                          <w:ilvl w:val="0"/>
                          <w:numId w:val="8"/>
                        </w:numPr>
                        <w:spacing w:after="0" w:line="240" w:lineRule="auto"/>
                        <w:rPr>
                          <w:rFonts w:ascii="Times New Roman" w:eastAsia="Times New Roman" w:hAnsi="Times New Roman" w:cs="Times New Roman"/>
                          <w:kern w:val="0"/>
                          <w:sz w:val="20"/>
                          <w:szCs w:val="20"/>
                          <w:lang w:val="en-US" w:eastAsia="da-DK"/>
                          <w14:ligatures w14:val="none"/>
                        </w:rPr>
                      </w:pPr>
                      <w:r>
                        <w:rPr>
                          <w:rFonts w:ascii="Times New Roman" w:eastAsia="Times New Roman" w:hAnsi="Times New Roman" w:cs="Times New Roman"/>
                          <w:kern w:val="0"/>
                          <w:sz w:val="20"/>
                          <w:szCs w:val="20"/>
                          <w:lang w:val="en-US" w:eastAsia="da-DK"/>
                          <w14:ligatures w14:val="none"/>
                        </w:rPr>
                        <w:t xml:space="preserve">A proposal was put forward to regulate the possibility of amending the decision by a new decision. However, this is always an option for the Council and might therefore be redundant. It was also proposed to insert a para on placing a provision in the budget. Any decision having a financial implication requires a recommendation from the Finance Committee to Council and Assembly, and therefore there might not necessarily be a need for regulating that in this decision. </w:t>
                      </w:r>
                    </w:p>
                  </w:txbxContent>
                </v:textbox>
                <w10:wrap type="square" anchorx="margin"/>
              </v:shape>
            </w:pict>
          </mc:Fallback>
        </mc:AlternateContent>
      </w:r>
    </w:p>
    <w:p w14:paraId="7CC8CE7F" w14:textId="77777777" w:rsidR="008E7117" w:rsidRDefault="008E7117" w:rsidP="005F5E9F">
      <w:pPr>
        <w:ind w:firstLine="1304"/>
        <w:rPr>
          <w:rFonts w:ascii="Times New Roman" w:hAnsi="Times New Roman" w:cs="Times New Roman"/>
          <w:sz w:val="20"/>
          <w:szCs w:val="20"/>
          <w:lang w:val="en-US"/>
        </w:rPr>
      </w:pPr>
    </w:p>
    <w:p w14:paraId="76D0ED70" w14:textId="3F2B5781" w:rsidR="00644E1D" w:rsidRPr="005150E2" w:rsidRDefault="00644E1D" w:rsidP="005F5E9F">
      <w:pPr>
        <w:ind w:firstLine="1304"/>
        <w:rPr>
          <w:rFonts w:ascii="Times New Roman" w:hAnsi="Times New Roman" w:cs="Times New Roman"/>
          <w:sz w:val="20"/>
          <w:szCs w:val="20"/>
          <w:lang w:val="en-US"/>
        </w:rPr>
      </w:pPr>
      <w:r>
        <w:rPr>
          <w:rFonts w:ascii="Times New Roman" w:hAnsi="Times New Roman" w:cs="Times New Roman"/>
          <w:sz w:val="20"/>
          <w:szCs w:val="20"/>
          <w:lang w:val="en-US"/>
        </w:rPr>
        <w:t>1</w:t>
      </w:r>
      <w:r w:rsidR="009663DD">
        <w:rPr>
          <w:rFonts w:ascii="Times New Roman" w:hAnsi="Times New Roman" w:cs="Times New Roman"/>
          <w:sz w:val="20"/>
          <w:szCs w:val="20"/>
          <w:lang w:val="en-US"/>
        </w:rPr>
        <w:t>4</w:t>
      </w:r>
      <w:r>
        <w:rPr>
          <w:rFonts w:ascii="Times New Roman" w:hAnsi="Times New Roman" w:cs="Times New Roman"/>
          <w:sz w:val="20"/>
          <w:szCs w:val="20"/>
          <w:lang w:val="en-US"/>
        </w:rPr>
        <w:t xml:space="preserve">. </w:t>
      </w:r>
      <w:r w:rsidRPr="005150E2">
        <w:rPr>
          <w:rFonts w:ascii="Times New Roman" w:hAnsi="Times New Roman" w:cs="Times New Roman"/>
          <w:i/>
          <w:iCs/>
          <w:sz w:val="20"/>
          <w:szCs w:val="20"/>
          <w:lang w:val="en-US"/>
        </w:rPr>
        <w:t>Requests</w:t>
      </w:r>
      <w:r w:rsidRPr="005150E2">
        <w:rPr>
          <w:rFonts w:ascii="Times New Roman" w:hAnsi="Times New Roman" w:cs="Times New Roman"/>
          <w:sz w:val="20"/>
          <w:szCs w:val="20"/>
          <w:lang w:val="en-US"/>
        </w:rPr>
        <w:t xml:space="preserve"> the Secretary-General to provide administrative support to the Compliance Committee</w:t>
      </w:r>
      <w:r>
        <w:rPr>
          <w:rFonts w:ascii="Times New Roman" w:hAnsi="Times New Roman" w:cs="Times New Roman"/>
          <w:sz w:val="20"/>
          <w:szCs w:val="20"/>
          <w:lang w:val="en-US"/>
        </w:rPr>
        <w:t>.</w:t>
      </w:r>
    </w:p>
    <w:p w14:paraId="4831DBD2" w14:textId="77777777" w:rsidR="00644E1D" w:rsidRPr="005F5E9F" w:rsidRDefault="00644E1D" w:rsidP="005F5E9F">
      <w:pPr>
        <w:ind w:firstLine="1304"/>
        <w:rPr>
          <w:rFonts w:ascii="Times New Roman" w:hAnsi="Times New Roman" w:cs="Times New Roman"/>
          <w:sz w:val="20"/>
          <w:szCs w:val="20"/>
          <w:lang w:val="en-US"/>
        </w:rPr>
      </w:pPr>
    </w:p>
    <w:sectPr w:rsidR="00644E1D" w:rsidRPr="005F5E9F">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C3B2A" w14:textId="77777777" w:rsidR="00526BAC" w:rsidRDefault="00526BAC" w:rsidP="00A906D2">
      <w:pPr>
        <w:spacing w:after="0" w:line="240" w:lineRule="auto"/>
      </w:pPr>
      <w:r>
        <w:separator/>
      </w:r>
    </w:p>
  </w:endnote>
  <w:endnote w:type="continuationSeparator" w:id="0">
    <w:p w14:paraId="3853F135" w14:textId="77777777" w:rsidR="00526BAC" w:rsidRDefault="00526BAC" w:rsidP="00A90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BB154" w14:textId="77777777" w:rsidR="00526BAC" w:rsidRDefault="00526BAC" w:rsidP="00A906D2">
      <w:pPr>
        <w:spacing w:after="0" w:line="240" w:lineRule="auto"/>
      </w:pPr>
      <w:r>
        <w:separator/>
      </w:r>
    </w:p>
  </w:footnote>
  <w:footnote w:type="continuationSeparator" w:id="0">
    <w:p w14:paraId="135AADF5" w14:textId="77777777" w:rsidR="00526BAC" w:rsidRDefault="00526BAC" w:rsidP="00A906D2">
      <w:pPr>
        <w:spacing w:after="0" w:line="240" w:lineRule="auto"/>
      </w:pPr>
      <w:r>
        <w:continuationSeparator/>
      </w:r>
    </w:p>
  </w:footnote>
  <w:footnote w:id="1">
    <w:p w14:paraId="14C6E698" w14:textId="77777777" w:rsidR="00644E1D" w:rsidRPr="00FB5D49" w:rsidRDefault="00644E1D" w:rsidP="005F5E9F">
      <w:pPr>
        <w:pStyle w:val="Fodnotetekst"/>
        <w:rPr>
          <w:rFonts w:ascii="Times New Roman" w:hAnsi="Times New Roman" w:cs="Times New Roman"/>
          <w:lang w:val="en-US"/>
        </w:rPr>
      </w:pPr>
      <w:r w:rsidRPr="00FB5D49">
        <w:rPr>
          <w:rStyle w:val="Fodnotehenvisning"/>
          <w:rFonts w:ascii="Times New Roman" w:hAnsi="Times New Roman" w:cs="Times New Roman"/>
        </w:rPr>
        <w:footnoteRef/>
      </w:r>
      <w:r w:rsidRPr="00FB5D49">
        <w:rPr>
          <w:rFonts w:ascii="Times New Roman" w:hAnsi="Times New Roman" w:cs="Times New Roman"/>
          <w:lang w:val="en-US"/>
        </w:rPr>
        <w:t xml:space="preserve"> United Nations, </w:t>
      </w:r>
      <w:r w:rsidRPr="00FB5D49">
        <w:rPr>
          <w:rFonts w:ascii="Times New Roman" w:hAnsi="Times New Roman" w:cs="Times New Roman"/>
          <w:i/>
          <w:iCs/>
          <w:lang w:val="en-US"/>
        </w:rPr>
        <w:t>Treaty Series</w:t>
      </w:r>
      <w:r w:rsidRPr="00FB5D49">
        <w:rPr>
          <w:rFonts w:ascii="Times New Roman" w:hAnsi="Times New Roman" w:cs="Times New Roman"/>
          <w:lang w:val="en-US"/>
        </w:rPr>
        <w:t>, vol. 1833, No. 31363.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7DD5" w14:textId="3263BC53" w:rsidR="00A906D2" w:rsidRDefault="00545C24" w:rsidP="00A906D2">
    <w:pPr>
      <w:pStyle w:val="Sidehoved"/>
      <w:jc w:val="right"/>
      <w:rPr>
        <w:rFonts w:ascii="Times New Roman" w:hAnsi="Times New Roman" w:cs="Times New Roman"/>
        <w:sz w:val="20"/>
        <w:szCs w:val="20"/>
        <w:lang w:val="en-US"/>
      </w:rPr>
    </w:pPr>
    <w:r w:rsidRPr="00545C24">
      <w:rPr>
        <w:rFonts w:ascii="Times New Roman" w:hAnsi="Times New Roman" w:cs="Times New Roman"/>
        <w:sz w:val="20"/>
        <w:szCs w:val="20"/>
        <w:lang w:val="en-US"/>
      </w:rPr>
      <w:t>Informal Intersessional Working Group on I</w:t>
    </w:r>
    <w:r>
      <w:rPr>
        <w:rFonts w:ascii="Times New Roman" w:hAnsi="Times New Roman" w:cs="Times New Roman"/>
        <w:sz w:val="20"/>
        <w:szCs w:val="20"/>
        <w:lang w:val="en-US"/>
      </w:rPr>
      <w:t>CE</w:t>
    </w:r>
  </w:p>
  <w:p w14:paraId="263CB206" w14:textId="07B98483" w:rsidR="00545C24" w:rsidRDefault="00545C24" w:rsidP="00A906D2">
    <w:pPr>
      <w:pStyle w:val="Sidehoved"/>
      <w:jc w:val="right"/>
      <w:rPr>
        <w:rFonts w:ascii="Times New Roman" w:hAnsi="Times New Roman" w:cs="Times New Roman"/>
        <w:sz w:val="20"/>
        <w:szCs w:val="20"/>
        <w:lang w:val="en-US"/>
      </w:rPr>
    </w:pPr>
    <w:r>
      <w:rPr>
        <w:rFonts w:ascii="Times New Roman" w:hAnsi="Times New Roman" w:cs="Times New Roman"/>
        <w:sz w:val="20"/>
        <w:szCs w:val="20"/>
        <w:lang w:val="en-US"/>
      </w:rPr>
      <w:t>Draft Council Decision on the Establishment of a Compliance Committee</w:t>
    </w:r>
  </w:p>
  <w:p w14:paraId="46A5760B" w14:textId="38DAA3AE" w:rsidR="00545C24" w:rsidRPr="00545C24" w:rsidRDefault="00A66CFB" w:rsidP="00A906D2">
    <w:pPr>
      <w:pStyle w:val="Sidehoved"/>
      <w:jc w:val="right"/>
      <w:rPr>
        <w:rFonts w:ascii="Times New Roman" w:hAnsi="Times New Roman" w:cs="Times New Roman"/>
        <w:sz w:val="20"/>
        <w:szCs w:val="20"/>
        <w:lang w:val="en-US"/>
      </w:rPr>
    </w:pPr>
    <w:r>
      <w:rPr>
        <w:rFonts w:ascii="Times New Roman" w:hAnsi="Times New Roman" w:cs="Times New Roman"/>
        <w:sz w:val="20"/>
        <w:szCs w:val="20"/>
        <w:lang w:val="en-US"/>
      </w:rPr>
      <w:t>1</w:t>
    </w:r>
    <w:r w:rsidR="00213F1E">
      <w:rPr>
        <w:rFonts w:ascii="Times New Roman" w:hAnsi="Times New Roman" w:cs="Times New Roman"/>
        <w:sz w:val="20"/>
        <w:szCs w:val="20"/>
        <w:lang w:val="en-US"/>
      </w:rPr>
      <w:t xml:space="preserve"> </w:t>
    </w:r>
    <w:r>
      <w:rPr>
        <w:rFonts w:ascii="Times New Roman" w:hAnsi="Times New Roman" w:cs="Times New Roman"/>
        <w:sz w:val="20"/>
        <w:szCs w:val="20"/>
        <w:lang w:val="en-US"/>
      </w:rPr>
      <w:t>December</w:t>
    </w:r>
    <w:r w:rsidR="00213F1E">
      <w:rPr>
        <w:rFonts w:ascii="Times New Roman" w:hAnsi="Times New Roman" w:cs="Times New Roman"/>
        <w:sz w:val="20"/>
        <w:szCs w:val="20"/>
        <w:lang w:val="en-US"/>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5A4"/>
    <w:multiLevelType w:val="multilevel"/>
    <w:tmpl w:val="232A82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61307A"/>
    <w:multiLevelType w:val="hybridMultilevel"/>
    <w:tmpl w:val="3C981120"/>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3A3C10"/>
    <w:multiLevelType w:val="hybridMultilevel"/>
    <w:tmpl w:val="59D0EE8C"/>
    <w:lvl w:ilvl="0" w:tplc="2EAA910E">
      <w:start w:val="1"/>
      <w:numFmt w:val="lowerLetter"/>
      <w:lvlText w:val="(%1)"/>
      <w:lvlJc w:val="left"/>
      <w:pPr>
        <w:ind w:left="1080" w:hanging="360"/>
      </w:pPr>
      <w:rPr>
        <w:rFonts w:hint="default"/>
      </w:rPr>
    </w:lvl>
    <w:lvl w:ilvl="1" w:tplc="20090019" w:tentative="1">
      <w:start w:val="1"/>
      <w:numFmt w:val="lowerLetter"/>
      <w:lvlText w:val="%2."/>
      <w:lvlJc w:val="left"/>
      <w:pPr>
        <w:ind w:left="1800" w:hanging="360"/>
      </w:pPr>
    </w:lvl>
    <w:lvl w:ilvl="2" w:tplc="2009001B" w:tentative="1">
      <w:start w:val="1"/>
      <w:numFmt w:val="lowerRoman"/>
      <w:lvlText w:val="%3."/>
      <w:lvlJc w:val="right"/>
      <w:pPr>
        <w:ind w:left="2520" w:hanging="180"/>
      </w:pPr>
    </w:lvl>
    <w:lvl w:ilvl="3" w:tplc="2009000F" w:tentative="1">
      <w:start w:val="1"/>
      <w:numFmt w:val="decimal"/>
      <w:lvlText w:val="%4."/>
      <w:lvlJc w:val="left"/>
      <w:pPr>
        <w:ind w:left="3240" w:hanging="360"/>
      </w:pPr>
    </w:lvl>
    <w:lvl w:ilvl="4" w:tplc="20090019" w:tentative="1">
      <w:start w:val="1"/>
      <w:numFmt w:val="lowerLetter"/>
      <w:lvlText w:val="%5."/>
      <w:lvlJc w:val="left"/>
      <w:pPr>
        <w:ind w:left="3960" w:hanging="360"/>
      </w:pPr>
    </w:lvl>
    <w:lvl w:ilvl="5" w:tplc="2009001B" w:tentative="1">
      <w:start w:val="1"/>
      <w:numFmt w:val="lowerRoman"/>
      <w:lvlText w:val="%6."/>
      <w:lvlJc w:val="right"/>
      <w:pPr>
        <w:ind w:left="4680" w:hanging="180"/>
      </w:pPr>
    </w:lvl>
    <w:lvl w:ilvl="6" w:tplc="2009000F" w:tentative="1">
      <w:start w:val="1"/>
      <w:numFmt w:val="decimal"/>
      <w:lvlText w:val="%7."/>
      <w:lvlJc w:val="left"/>
      <w:pPr>
        <w:ind w:left="5400" w:hanging="360"/>
      </w:pPr>
    </w:lvl>
    <w:lvl w:ilvl="7" w:tplc="20090019" w:tentative="1">
      <w:start w:val="1"/>
      <w:numFmt w:val="lowerLetter"/>
      <w:lvlText w:val="%8."/>
      <w:lvlJc w:val="left"/>
      <w:pPr>
        <w:ind w:left="6120" w:hanging="360"/>
      </w:pPr>
    </w:lvl>
    <w:lvl w:ilvl="8" w:tplc="2009001B" w:tentative="1">
      <w:start w:val="1"/>
      <w:numFmt w:val="lowerRoman"/>
      <w:lvlText w:val="%9."/>
      <w:lvlJc w:val="right"/>
      <w:pPr>
        <w:ind w:left="6840" w:hanging="180"/>
      </w:pPr>
    </w:lvl>
  </w:abstractNum>
  <w:abstractNum w:abstractNumId="3" w15:restartNumberingAfterBreak="0">
    <w:nsid w:val="2281732F"/>
    <w:multiLevelType w:val="hybridMultilevel"/>
    <w:tmpl w:val="5F466954"/>
    <w:lvl w:ilvl="0" w:tplc="65283D6A">
      <w:start w:val="1"/>
      <w:numFmt w:val="decimal"/>
      <w:lvlText w:val="%1."/>
      <w:lvlJc w:val="left"/>
      <w:pPr>
        <w:ind w:left="1664" w:hanging="360"/>
      </w:pPr>
      <w:rPr>
        <w:rFonts w:hint="default"/>
        <w:i/>
      </w:rPr>
    </w:lvl>
    <w:lvl w:ilvl="1" w:tplc="20090019" w:tentative="1">
      <w:start w:val="1"/>
      <w:numFmt w:val="lowerLetter"/>
      <w:lvlText w:val="%2."/>
      <w:lvlJc w:val="left"/>
      <w:pPr>
        <w:ind w:left="2384" w:hanging="360"/>
      </w:pPr>
    </w:lvl>
    <w:lvl w:ilvl="2" w:tplc="2009001B" w:tentative="1">
      <w:start w:val="1"/>
      <w:numFmt w:val="lowerRoman"/>
      <w:lvlText w:val="%3."/>
      <w:lvlJc w:val="right"/>
      <w:pPr>
        <w:ind w:left="3104" w:hanging="180"/>
      </w:pPr>
    </w:lvl>
    <w:lvl w:ilvl="3" w:tplc="2009000F" w:tentative="1">
      <w:start w:val="1"/>
      <w:numFmt w:val="decimal"/>
      <w:lvlText w:val="%4."/>
      <w:lvlJc w:val="left"/>
      <w:pPr>
        <w:ind w:left="3824" w:hanging="360"/>
      </w:pPr>
    </w:lvl>
    <w:lvl w:ilvl="4" w:tplc="20090019" w:tentative="1">
      <w:start w:val="1"/>
      <w:numFmt w:val="lowerLetter"/>
      <w:lvlText w:val="%5."/>
      <w:lvlJc w:val="left"/>
      <w:pPr>
        <w:ind w:left="4544" w:hanging="360"/>
      </w:pPr>
    </w:lvl>
    <w:lvl w:ilvl="5" w:tplc="2009001B" w:tentative="1">
      <w:start w:val="1"/>
      <w:numFmt w:val="lowerRoman"/>
      <w:lvlText w:val="%6."/>
      <w:lvlJc w:val="right"/>
      <w:pPr>
        <w:ind w:left="5264" w:hanging="180"/>
      </w:pPr>
    </w:lvl>
    <w:lvl w:ilvl="6" w:tplc="2009000F" w:tentative="1">
      <w:start w:val="1"/>
      <w:numFmt w:val="decimal"/>
      <w:lvlText w:val="%7."/>
      <w:lvlJc w:val="left"/>
      <w:pPr>
        <w:ind w:left="5984" w:hanging="360"/>
      </w:pPr>
    </w:lvl>
    <w:lvl w:ilvl="7" w:tplc="20090019" w:tentative="1">
      <w:start w:val="1"/>
      <w:numFmt w:val="lowerLetter"/>
      <w:lvlText w:val="%8."/>
      <w:lvlJc w:val="left"/>
      <w:pPr>
        <w:ind w:left="6704" w:hanging="360"/>
      </w:pPr>
    </w:lvl>
    <w:lvl w:ilvl="8" w:tplc="2009001B" w:tentative="1">
      <w:start w:val="1"/>
      <w:numFmt w:val="lowerRoman"/>
      <w:lvlText w:val="%9."/>
      <w:lvlJc w:val="right"/>
      <w:pPr>
        <w:ind w:left="7424" w:hanging="180"/>
      </w:pPr>
    </w:lvl>
  </w:abstractNum>
  <w:abstractNum w:abstractNumId="4" w15:restartNumberingAfterBreak="0">
    <w:nsid w:val="41D84C52"/>
    <w:multiLevelType w:val="hybridMultilevel"/>
    <w:tmpl w:val="5922D61E"/>
    <w:lvl w:ilvl="0" w:tplc="89109BD8">
      <w:start w:val="1"/>
      <w:numFmt w:val="decimal"/>
      <w:lvlText w:val="%1."/>
      <w:lvlJc w:val="left"/>
      <w:pPr>
        <w:ind w:left="1664" w:hanging="360"/>
      </w:pPr>
      <w:rPr>
        <w:rFonts w:hint="default"/>
        <w:i/>
      </w:rPr>
    </w:lvl>
    <w:lvl w:ilvl="1" w:tplc="20090019" w:tentative="1">
      <w:start w:val="1"/>
      <w:numFmt w:val="lowerLetter"/>
      <w:lvlText w:val="%2."/>
      <w:lvlJc w:val="left"/>
      <w:pPr>
        <w:ind w:left="2384" w:hanging="360"/>
      </w:pPr>
    </w:lvl>
    <w:lvl w:ilvl="2" w:tplc="2009001B" w:tentative="1">
      <w:start w:val="1"/>
      <w:numFmt w:val="lowerRoman"/>
      <w:lvlText w:val="%3."/>
      <w:lvlJc w:val="right"/>
      <w:pPr>
        <w:ind w:left="3104" w:hanging="180"/>
      </w:pPr>
    </w:lvl>
    <w:lvl w:ilvl="3" w:tplc="2009000F" w:tentative="1">
      <w:start w:val="1"/>
      <w:numFmt w:val="decimal"/>
      <w:lvlText w:val="%4."/>
      <w:lvlJc w:val="left"/>
      <w:pPr>
        <w:ind w:left="3824" w:hanging="360"/>
      </w:pPr>
    </w:lvl>
    <w:lvl w:ilvl="4" w:tplc="20090019" w:tentative="1">
      <w:start w:val="1"/>
      <w:numFmt w:val="lowerLetter"/>
      <w:lvlText w:val="%5."/>
      <w:lvlJc w:val="left"/>
      <w:pPr>
        <w:ind w:left="4544" w:hanging="360"/>
      </w:pPr>
    </w:lvl>
    <w:lvl w:ilvl="5" w:tplc="2009001B" w:tentative="1">
      <w:start w:val="1"/>
      <w:numFmt w:val="lowerRoman"/>
      <w:lvlText w:val="%6."/>
      <w:lvlJc w:val="right"/>
      <w:pPr>
        <w:ind w:left="5264" w:hanging="180"/>
      </w:pPr>
    </w:lvl>
    <w:lvl w:ilvl="6" w:tplc="2009000F" w:tentative="1">
      <w:start w:val="1"/>
      <w:numFmt w:val="decimal"/>
      <w:lvlText w:val="%7."/>
      <w:lvlJc w:val="left"/>
      <w:pPr>
        <w:ind w:left="5984" w:hanging="360"/>
      </w:pPr>
    </w:lvl>
    <w:lvl w:ilvl="7" w:tplc="20090019" w:tentative="1">
      <w:start w:val="1"/>
      <w:numFmt w:val="lowerLetter"/>
      <w:lvlText w:val="%8."/>
      <w:lvlJc w:val="left"/>
      <w:pPr>
        <w:ind w:left="6704" w:hanging="360"/>
      </w:pPr>
    </w:lvl>
    <w:lvl w:ilvl="8" w:tplc="2009001B" w:tentative="1">
      <w:start w:val="1"/>
      <w:numFmt w:val="lowerRoman"/>
      <w:lvlText w:val="%9."/>
      <w:lvlJc w:val="right"/>
      <w:pPr>
        <w:ind w:left="7424" w:hanging="180"/>
      </w:pPr>
    </w:lvl>
  </w:abstractNum>
  <w:abstractNum w:abstractNumId="5" w15:restartNumberingAfterBreak="0">
    <w:nsid w:val="4A2B1D43"/>
    <w:multiLevelType w:val="multilevel"/>
    <w:tmpl w:val="9F9CC6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9A0F0B"/>
    <w:multiLevelType w:val="hybridMultilevel"/>
    <w:tmpl w:val="85D25B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9A92D95"/>
    <w:multiLevelType w:val="hybridMultilevel"/>
    <w:tmpl w:val="30DE241A"/>
    <w:lvl w:ilvl="0" w:tplc="20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num w:numId="1" w16cid:durableId="1574315670">
    <w:abstractNumId w:val="0"/>
  </w:num>
  <w:num w:numId="2" w16cid:durableId="1930581677">
    <w:abstractNumId w:val="5"/>
  </w:num>
  <w:num w:numId="3" w16cid:durableId="1671789600">
    <w:abstractNumId w:val="1"/>
  </w:num>
  <w:num w:numId="4" w16cid:durableId="1536119239">
    <w:abstractNumId w:val="7"/>
  </w:num>
  <w:num w:numId="5" w16cid:durableId="1097560555">
    <w:abstractNumId w:val="2"/>
  </w:num>
  <w:num w:numId="6" w16cid:durableId="899487496">
    <w:abstractNumId w:val="3"/>
  </w:num>
  <w:num w:numId="7" w16cid:durableId="1189490455">
    <w:abstractNumId w:val="4"/>
  </w:num>
  <w:num w:numId="8" w16cid:durableId="1400901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9D"/>
    <w:rsid w:val="00007A18"/>
    <w:rsid w:val="00007A31"/>
    <w:rsid w:val="00007DD7"/>
    <w:rsid w:val="000125E9"/>
    <w:rsid w:val="000136A5"/>
    <w:rsid w:val="00017893"/>
    <w:rsid w:val="00022201"/>
    <w:rsid w:val="000234FF"/>
    <w:rsid w:val="00030E6B"/>
    <w:rsid w:val="000360D7"/>
    <w:rsid w:val="00051F03"/>
    <w:rsid w:val="000521C4"/>
    <w:rsid w:val="00052DBE"/>
    <w:rsid w:val="00053972"/>
    <w:rsid w:val="00055866"/>
    <w:rsid w:val="00060637"/>
    <w:rsid w:val="0006122A"/>
    <w:rsid w:val="00062EAD"/>
    <w:rsid w:val="00063945"/>
    <w:rsid w:val="000648A4"/>
    <w:rsid w:val="00065E0A"/>
    <w:rsid w:val="00066521"/>
    <w:rsid w:val="000707AF"/>
    <w:rsid w:val="00071897"/>
    <w:rsid w:val="000729AD"/>
    <w:rsid w:val="0007560A"/>
    <w:rsid w:val="000773FC"/>
    <w:rsid w:val="00082BAB"/>
    <w:rsid w:val="00084EC8"/>
    <w:rsid w:val="00087FC1"/>
    <w:rsid w:val="000A0D8D"/>
    <w:rsid w:val="000A0FC9"/>
    <w:rsid w:val="000A2584"/>
    <w:rsid w:val="000A2CB2"/>
    <w:rsid w:val="000A44A9"/>
    <w:rsid w:val="000A4AFF"/>
    <w:rsid w:val="000B1A3D"/>
    <w:rsid w:val="000B4839"/>
    <w:rsid w:val="000B700F"/>
    <w:rsid w:val="000C0D7A"/>
    <w:rsid w:val="000C21FE"/>
    <w:rsid w:val="000C5DC0"/>
    <w:rsid w:val="000C7414"/>
    <w:rsid w:val="000D07F4"/>
    <w:rsid w:val="000D6233"/>
    <w:rsid w:val="000E2110"/>
    <w:rsid w:val="000E2448"/>
    <w:rsid w:val="000E37BB"/>
    <w:rsid w:val="000E3A32"/>
    <w:rsid w:val="000E7454"/>
    <w:rsid w:val="000E7577"/>
    <w:rsid w:val="000F0366"/>
    <w:rsid w:val="000F36DF"/>
    <w:rsid w:val="000F5061"/>
    <w:rsid w:val="000F672A"/>
    <w:rsid w:val="00100275"/>
    <w:rsid w:val="001012BE"/>
    <w:rsid w:val="00105DF5"/>
    <w:rsid w:val="0011182C"/>
    <w:rsid w:val="00112276"/>
    <w:rsid w:val="001125A3"/>
    <w:rsid w:val="00112C7E"/>
    <w:rsid w:val="001139FC"/>
    <w:rsid w:val="00113B01"/>
    <w:rsid w:val="00114608"/>
    <w:rsid w:val="001154D4"/>
    <w:rsid w:val="00120639"/>
    <w:rsid w:val="00121BC9"/>
    <w:rsid w:val="0012284C"/>
    <w:rsid w:val="00125F2D"/>
    <w:rsid w:val="00126A45"/>
    <w:rsid w:val="001305FE"/>
    <w:rsid w:val="0013060B"/>
    <w:rsid w:val="00130C29"/>
    <w:rsid w:val="0013560B"/>
    <w:rsid w:val="00137F14"/>
    <w:rsid w:val="001406DD"/>
    <w:rsid w:val="00140772"/>
    <w:rsid w:val="001408A0"/>
    <w:rsid w:val="001416D1"/>
    <w:rsid w:val="001427AE"/>
    <w:rsid w:val="0014605B"/>
    <w:rsid w:val="0014799E"/>
    <w:rsid w:val="00147A49"/>
    <w:rsid w:val="00153CC5"/>
    <w:rsid w:val="001548A3"/>
    <w:rsid w:val="00154CD3"/>
    <w:rsid w:val="00157781"/>
    <w:rsid w:val="00161BEC"/>
    <w:rsid w:val="00167819"/>
    <w:rsid w:val="00172433"/>
    <w:rsid w:val="001772B8"/>
    <w:rsid w:val="00184608"/>
    <w:rsid w:val="001865EB"/>
    <w:rsid w:val="001871F7"/>
    <w:rsid w:val="00193D40"/>
    <w:rsid w:val="00195C8B"/>
    <w:rsid w:val="0019778C"/>
    <w:rsid w:val="001A04D5"/>
    <w:rsid w:val="001A14AD"/>
    <w:rsid w:val="001A7A20"/>
    <w:rsid w:val="001B059E"/>
    <w:rsid w:val="001B0EA3"/>
    <w:rsid w:val="001B0F4C"/>
    <w:rsid w:val="001B1B9B"/>
    <w:rsid w:val="001B5267"/>
    <w:rsid w:val="001C3CB7"/>
    <w:rsid w:val="001C466C"/>
    <w:rsid w:val="001C4CC2"/>
    <w:rsid w:val="001C5DAB"/>
    <w:rsid w:val="001C6008"/>
    <w:rsid w:val="001C7291"/>
    <w:rsid w:val="001D0384"/>
    <w:rsid w:val="001D21EE"/>
    <w:rsid w:val="001D3C7F"/>
    <w:rsid w:val="001D3FA9"/>
    <w:rsid w:val="001D664A"/>
    <w:rsid w:val="001D6E0F"/>
    <w:rsid w:val="001D7455"/>
    <w:rsid w:val="001D7878"/>
    <w:rsid w:val="001E2E7F"/>
    <w:rsid w:val="001E5C89"/>
    <w:rsid w:val="001E6DFC"/>
    <w:rsid w:val="001F5F72"/>
    <w:rsid w:val="00200B40"/>
    <w:rsid w:val="00201007"/>
    <w:rsid w:val="00201E24"/>
    <w:rsid w:val="0020441C"/>
    <w:rsid w:val="00213A31"/>
    <w:rsid w:val="00213F1E"/>
    <w:rsid w:val="00221CCE"/>
    <w:rsid w:val="0022463E"/>
    <w:rsid w:val="002261D9"/>
    <w:rsid w:val="00227586"/>
    <w:rsid w:val="00230AB9"/>
    <w:rsid w:val="00232265"/>
    <w:rsid w:val="00232B00"/>
    <w:rsid w:val="00236FE3"/>
    <w:rsid w:val="00241EC3"/>
    <w:rsid w:val="00250856"/>
    <w:rsid w:val="002558FD"/>
    <w:rsid w:val="00261397"/>
    <w:rsid w:val="00262410"/>
    <w:rsid w:val="00263630"/>
    <w:rsid w:val="0026378F"/>
    <w:rsid w:val="00264661"/>
    <w:rsid w:val="00264C7D"/>
    <w:rsid w:val="002711D4"/>
    <w:rsid w:val="00271C0A"/>
    <w:rsid w:val="00271DAB"/>
    <w:rsid w:val="0028436F"/>
    <w:rsid w:val="00291533"/>
    <w:rsid w:val="00292A80"/>
    <w:rsid w:val="002943B4"/>
    <w:rsid w:val="00295F67"/>
    <w:rsid w:val="002A183F"/>
    <w:rsid w:val="002A51EB"/>
    <w:rsid w:val="002A5DD0"/>
    <w:rsid w:val="002A6968"/>
    <w:rsid w:val="002B1C16"/>
    <w:rsid w:val="002B3036"/>
    <w:rsid w:val="002B4115"/>
    <w:rsid w:val="002B42A8"/>
    <w:rsid w:val="002C0079"/>
    <w:rsid w:val="002C202D"/>
    <w:rsid w:val="002C3602"/>
    <w:rsid w:val="002C760E"/>
    <w:rsid w:val="002D0C08"/>
    <w:rsid w:val="002D3279"/>
    <w:rsid w:val="002D4BEF"/>
    <w:rsid w:val="002E0F77"/>
    <w:rsid w:val="002E4981"/>
    <w:rsid w:val="002E4C2E"/>
    <w:rsid w:val="002F1E6A"/>
    <w:rsid w:val="002F203C"/>
    <w:rsid w:val="002F3BEA"/>
    <w:rsid w:val="00302F17"/>
    <w:rsid w:val="00303951"/>
    <w:rsid w:val="00311658"/>
    <w:rsid w:val="00314BDD"/>
    <w:rsid w:val="00315636"/>
    <w:rsid w:val="00315984"/>
    <w:rsid w:val="0031636C"/>
    <w:rsid w:val="00317BE2"/>
    <w:rsid w:val="003243A5"/>
    <w:rsid w:val="00324B1C"/>
    <w:rsid w:val="00326F25"/>
    <w:rsid w:val="0032727D"/>
    <w:rsid w:val="0033253D"/>
    <w:rsid w:val="003363C4"/>
    <w:rsid w:val="00336C4C"/>
    <w:rsid w:val="0034029B"/>
    <w:rsid w:val="0034433C"/>
    <w:rsid w:val="00345A57"/>
    <w:rsid w:val="003508FC"/>
    <w:rsid w:val="00355736"/>
    <w:rsid w:val="00356432"/>
    <w:rsid w:val="0035782C"/>
    <w:rsid w:val="00361336"/>
    <w:rsid w:val="0036145B"/>
    <w:rsid w:val="003649F7"/>
    <w:rsid w:val="00365AD5"/>
    <w:rsid w:val="00366AF8"/>
    <w:rsid w:val="00366E32"/>
    <w:rsid w:val="00367315"/>
    <w:rsid w:val="003676E0"/>
    <w:rsid w:val="003678B6"/>
    <w:rsid w:val="00373A5C"/>
    <w:rsid w:val="00375D52"/>
    <w:rsid w:val="00381332"/>
    <w:rsid w:val="003836CE"/>
    <w:rsid w:val="00383FB6"/>
    <w:rsid w:val="00387F9E"/>
    <w:rsid w:val="00390959"/>
    <w:rsid w:val="00394C22"/>
    <w:rsid w:val="003A1D85"/>
    <w:rsid w:val="003A33D9"/>
    <w:rsid w:val="003B3D7F"/>
    <w:rsid w:val="003B5E4D"/>
    <w:rsid w:val="003C01E0"/>
    <w:rsid w:val="003C0687"/>
    <w:rsid w:val="003D091A"/>
    <w:rsid w:val="003D1CED"/>
    <w:rsid w:val="003D2A64"/>
    <w:rsid w:val="003D332E"/>
    <w:rsid w:val="003D4D1D"/>
    <w:rsid w:val="003D6C9D"/>
    <w:rsid w:val="003E4FC3"/>
    <w:rsid w:val="003F78D5"/>
    <w:rsid w:val="00400BF5"/>
    <w:rsid w:val="00402031"/>
    <w:rsid w:val="00410BC6"/>
    <w:rsid w:val="00411CFF"/>
    <w:rsid w:val="00413098"/>
    <w:rsid w:val="0041479D"/>
    <w:rsid w:val="00416AB3"/>
    <w:rsid w:val="00421509"/>
    <w:rsid w:val="00423839"/>
    <w:rsid w:val="00426FC0"/>
    <w:rsid w:val="00430524"/>
    <w:rsid w:val="0043317C"/>
    <w:rsid w:val="004338C8"/>
    <w:rsid w:val="00441DDB"/>
    <w:rsid w:val="00441E16"/>
    <w:rsid w:val="00442ECE"/>
    <w:rsid w:val="004628C6"/>
    <w:rsid w:val="0046314E"/>
    <w:rsid w:val="00463321"/>
    <w:rsid w:val="00464D50"/>
    <w:rsid w:val="00470F02"/>
    <w:rsid w:val="0047713F"/>
    <w:rsid w:val="0048163D"/>
    <w:rsid w:val="004923CB"/>
    <w:rsid w:val="00493181"/>
    <w:rsid w:val="00494012"/>
    <w:rsid w:val="004A2131"/>
    <w:rsid w:val="004A6AB9"/>
    <w:rsid w:val="004B0385"/>
    <w:rsid w:val="004B06CC"/>
    <w:rsid w:val="004B17E3"/>
    <w:rsid w:val="004B33CC"/>
    <w:rsid w:val="004B39EE"/>
    <w:rsid w:val="004C1D32"/>
    <w:rsid w:val="004C2760"/>
    <w:rsid w:val="004C56E6"/>
    <w:rsid w:val="004D0ACE"/>
    <w:rsid w:val="004D1480"/>
    <w:rsid w:val="004D2F34"/>
    <w:rsid w:val="004D5D32"/>
    <w:rsid w:val="004E1781"/>
    <w:rsid w:val="004E394B"/>
    <w:rsid w:val="004E52D0"/>
    <w:rsid w:val="004E78B3"/>
    <w:rsid w:val="004E7EE4"/>
    <w:rsid w:val="004F1E0D"/>
    <w:rsid w:val="004F31EF"/>
    <w:rsid w:val="004F5422"/>
    <w:rsid w:val="005010D6"/>
    <w:rsid w:val="00506B95"/>
    <w:rsid w:val="00510F08"/>
    <w:rsid w:val="0051340E"/>
    <w:rsid w:val="00514DE6"/>
    <w:rsid w:val="005150E2"/>
    <w:rsid w:val="005225EF"/>
    <w:rsid w:val="00523226"/>
    <w:rsid w:val="00526BAC"/>
    <w:rsid w:val="0052764B"/>
    <w:rsid w:val="00527CDF"/>
    <w:rsid w:val="005306ED"/>
    <w:rsid w:val="00531B0A"/>
    <w:rsid w:val="005351FF"/>
    <w:rsid w:val="00545C24"/>
    <w:rsid w:val="0054614E"/>
    <w:rsid w:val="0054650B"/>
    <w:rsid w:val="00546DA0"/>
    <w:rsid w:val="00551E2F"/>
    <w:rsid w:val="005523A9"/>
    <w:rsid w:val="005618AF"/>
    <w:rsid w:val="00561E81"/>
    <w:rsid w:val="00564195"/>
    <w:rsid w:val="005673DE"/>
    <w:rsid w:val="00573637"/>
    <w:rsid w:val="005742A2"/>
    <w:rsid w:val="005856B4"/>
    <w:rsid w:val="0059164A"/>
    <w:rsid w:val="00593FA1"/>
    <w:rsid w:val="005A223E"/>
    <w:rsid w:val="005A375E"/>
    <w:rsid w:val="005A3766"/>
    <w:rsid w:val="005A3AED"/>
    <w:rsid w:val="005B0835"/>
    <w:rsid w:val="005D78FB"/>
    <w:rsid w:val="005D79BF"/>
    <w:rsid w:val="005E3211"/>
    <w:rsid w:val="005E333B"/>
    <w:rsid w:val="005E36FE"/>
    <w:rsid w:val="005F087C"/>
    <w:rsid w:val="005F137D"/>
    <w:rsid w:val="005F1A63"/>
    <w:rsid w:val="005F4B34"/>
    <w:rsid w:val="005F677A"/>
    <w:rsid w:val="005F72E5"/>
    <w:rsid w:val="006019AE"/>
    <w:rsid w:val="00605DE2"/>
    <w:rsid w:val="00610376"/>
    <w:rsid w:val="006164E5"/>
    <w:rsid w:val="0062141E"/>
    <w:rsid w:val="0062338B"/>
    <w:rsid w:val="00623538"/>
    <w:rsid w:val="00625376"/>
    <w:rsid w:val="00625A26"/>
    <w:rsid w:val="0062648E"/>
    <w:rsid w:val="00631E0E"/>
    <w:rsid w:val="00633A9D"/>
    <w:rsid w:val="00634075"/>
    <w:rsid w:val="00634B67"/>
    <w:rsid w:val="00636756"/>
    <w:rsid w:val="00637BAD"/>
    <w:rsid w:val="00644E1D"/>
    <w:rsid w:val="00650E07"/>
    <w:rsid w:val="0065137A"/>
    <w:rsid w:val="00653B6C"/>
    <w:rsid w:val="00656252"/>
    <w:rsid w:val="00657969"/>
    <w:rsid w:val="00673C99"/>
    <w:rsid w:val="00674392"/>
    <w:rsid w:val="0068373B"/>
    <w:rsid w:val="00684FA0"/>
    <w:rsid w:val="00694867"/>
    <w:rsid w:val="0069636C"/>
    <w:rsid w:val="006A280A"/>
    <w:rsid w:val="006A29DF"/>
    <w:rsid w:val="006A3B88"/>
    <w:rsid w:val="006A4A32"/>
    <w:rsid w:val="006A6025"/>
    <w:rsid w:val="006B06CC"/>
    <w:rsid w:val="006B4841"/>
    <w:rsid w:val="006B6258"/>
    <w:rsid w:val="006B67EB"/>
    <w:rsid w:val="006C2111"/>
    <w:rsid w:val="006C3AF1"/>
    <w:rsid w:val="006C4FD5"/>
    <w:rsid w:val="006C5752"/>
    <w:rsid w:val="006C6577"/>
    <w:rsid w:val="006C699C"/>
    <w:rsid w:val="006C6A2B"/>
    <w:rsid w:val="006C6D5A"/>
    <w:rsid w:val="006D0135"/>
    <w:rsid w:val="006D2D37"/>
    <w:rsid w:val="006E146A"/>
    <w:rsid w:val="006E1E34"/>
    <w:rsid w:val="006E6216"/>
    <w:rsid w:val="006E67D4"/>
    <w:rsid w:val="006E74E6"/>
    <w:rsid w:val="006F3C3B"/>
    <w:rsid w:val="006F5C39"/>
    <w:rsid w:val="00703A58"/>
    <w:rsid w:val="00703C98"/>
    <w:rsid w:val="0070567D"/>
    <w:rsid w:val="0070622F"/>
    <w:rsid w:val="00706918"/>
    <w:rsid w:val="007109BF"/>
    <w:rsid w:val="007120B3"/>
    <w:rsid w:val="00715E94"/>
    <w:rsid w:val="00716518"/>
    <w:rsid w:val="00716CD0"/>
    <w:rsid w:val="007217A2"/>
    <w:rsid w:val="007229F5"/>
    <w:rsid w:val="007247C4"/>
    <w:rsid w:val="00724A9E"/>
    <w:rsid w:val="007260ED"/>
    <w:rsid w:val="00726D0B"/>
    <w:rsid w:val="0072719C"/>
    <w:rsid w:val="00732625"/>
    <w:rsid w:val="00732867"/>
    <w:rsid w:val="0073613F"/>
    <w:rsid w:val="00741195"/>
    <w:rsid w:val="007476C8"/>
    <w:rsid w:val="00747E55"/>
    <w:rsid w:val="00751D95"/>
    <w:rsid w:val="00753745"/>
    <w:rsid w:val="00753BE4"/>
    <w:rsid w:val="00762397"/>
    <w:rsid w:val="00763197"/>
    <w:rsid w:val="007641B0"/>
    <w:rsid w:val="0076441E"/>
    <w:rsid w:val="0076450F"/>
    <w:rsid w:val="00766371"/>
    <w:rsid w:val="00771D71"/>
    <w:rsid w:val="0077209D"/>
    <w:rsid w:val="007759DF"/>
    <w:rsid w:val="0078172C"/>
    <w:rsid w:val="007869CC"/>
    <w:rsid w:val="00792E18"/>
    <w:rsid w:val="00792F0C"/>
    <w:rsid w:val="007935EE"/>
    <w:rsid w:val="0079453A"/>
    <w:rsid w:val="00796141"/>
    <w:rsid w:val="00797F3D"/>
    <w:rsid w:val="007A59CE"/>
    <w:rsid w:val="007A7D69"/>
    <w:rsid w:val="007B2276"/>
    <w:rsid w:val="007B24D0"/>
    <w:rsid w:val="007B363F"/>
    <w:rsid w:val="007B4AD9"/>
    <w:rsid w:val="007B6221"/>
    <w:rsid w:val="007B7428"/>
    <w:rsid w:val="007C3348"/>
    <w:rsid w:val="007C35E9"/>
    <w:rsid w:val="007C3C5B"/>
    <w:rsid w:val="007C3DA8"/>
    <w:rsid w:val="007D072C"/>
    <w:rsid w:val="007D114C"/>
    <w:rsid w:val="007D3359"/>
    <w:rsid w:val="007D71F8"/>
    <w:rsid w:val="007E08EF"/>
    <w:rsid w:val="007E39FF"/>
    <w:rsid w:val="007E4F03"/>
    <w:rsid w:val="007F51B9"/>
    <w:rsid w:val="0080024B"/>
    <w:rsid w:val="00803BE5"/>
    <w:rsid w:val="00806655"/>
    <w:rsid w:val="00810644"/>
    <w:rsid w:val="008113DA"/>
    <w:rsid w:val="0081305F"/>
    <w:rsid w:val="008141CE"/>
    <w:rsid w:val="00820F39"/>
    <w:rsid w:val="00822C14"/>
    <w:rsid w:val="00823FBC"/>
    <w:rsid w:val="008270C0"/>
    <w:rsid w:val="00827CA3"/>
    <w:rsid w:val="00830DC1"/>
    <w:rsid w:val="008312B6"/>
    <w:rsid w:val="00832411"/>
    <w:rsid w:val="00832D29"/>
    <w:rsid w:val="0083442E"/>
    <w:rsid w:val="00840B07"/>
    <w:rsid w:val="00843399"/>
    <w:rsid w:val="0085018D"/>
    <w:rsid w:val="00852BCC"/>
    <w:rsid w:val="00853A6E"/>
    <w:rsid w:val="00855176"/>
    <w:rsid w:val="00855C78"/>
    <w:rsid w:val="0085681E"/>
    <w:rsid w:val="00861FE4"/>
    <w:rsid w:val="00862A80"/>
    <w:rsid w:val="00862B3D"/>
    <w:rsid w:val="00862EE4"/>
    <w:rsid w:val="008640C0"/>
    <w:rsid w:val="0087031B"/>
    <w:rsid w:val="00872A70"/>
    <w:rsid w:val="0087456F"/>
    <w:rsid w:val="00875144"/>
    <w:rsid w:val="00881611"/>
    <w:rsid w:val="0088166D"/>
    <w:rsid w:val="00883765"/>
    <w:rsid w:val="00883D9D"/>
    <w:rsid w:val="008862B7"/>
    <w:rsid w:val="008873F5"/>
    <w:rsid w:val="00891752"/>
    <w:rsid w:val="008950BA"/>
    <w:rsid w:val="0089683D"/>
    <w:rsid w:val="008A0594"/>
    <w:rsid w:val="008A1DB8"/>
    <w:rsid w:val="008A35C3"/>
    <w:rsid w:val="008B21D9"/>
    <w:rsid w:val="008B7F6D"/>
    <w:rsid w:val="008C0778"/>
    <w:rsid w:val="008C1D27"/>
    <w:rsid w:val="008C3BF8"/>
    <w:rsid w:val="008C447C"/>
    <w:rsid w:val="008C481A"/>
    <w:rsid w:val="008D0F47"/>
    <w:rsid w:val="008D454B"/>
    <w:rsid w:val="008D779A"/>
    <w:rsid w:val="008E0792"/>
    <w:rsid w:val="008E6016"/>
    <w:rsid w:val="008E7117"/>
    <w:rsid w:val="008F052B"/>
    <w:rsid w:val="008F1056"/>
    <w:rsid w:val="008F350E"/>
    <w:rsid w:val="009026BA"/>
    <w:rsid w:val="0091046B"/>
    <w:rsid w:val="00912FA9"/>
    <w:rsid w:val="009145DF"/>
    <w:rsid w:val="009155A4"/>
    <w:rsid w:val="009165EA"/>
    <w:rsid w:val="00924DD8"/>
    <w:rsid w:val="009257D9"/>
    <w:rsid w:val="00925BFD"/>
    <w:rsid w:val="00940B64"/>
    <w:rsid w:val="009430CD"/>
    <w:rsid w:val="00946559"/>
    <w:rsid w:val="009478EF"/>
    <w:rsid w:val="009663DD"/>
    <w:rsid w:val="009674B8"/>
    <w:rsid w:val="009714EF"/>
    <w:rsid w:val="00971ECC"/>
    <w:rsid w:val="00972FD4"/>
    <w:rsid w:val="0097360A"/>
    <w:rsid w:val="00977D55"/>
    <w:rsid w:val="00980864"/>
    <w:rsid w:val="0098765B"/>
    <w:rsid w:val="00987A2B"/>
    <w:rsid w:val="0099188A"/>
    <w:rsid w:val="0099380D"/>
    <w:rsid w:val="0099436E"/>
    <w:rsid w:val="009A6C4D"/>
    <w:rsid w:val="009A732E"/>
    <w:rsid w:val="009B39D0"/>
    <w:rsid w:val="009B794D"/>
    <w:rsid w:val="009C7397"/>
    <w:rsid w:val="009D0A10"/>
    <w:rsid w:val="009E063B"/>
    <w:rsid w:val="009E632E"/>
    <w:rsid w:val="009F217A"/>
    <w:rsid w:val="009F514F"/>
    <w:rsid w:val="009F6BCE"/>
    <w:rsid w:val="00A00E7A"/>
    <w:rsid w:val="00A028B3"/>
    <w:rsid w:val="00A049F3"/>
    <w:rsid w:val="00A10FB4"/>
    <w:rsid w:val="00A11EC9"/>
    <w:rsid w:val="00A212A4"/>
    <w:rsid w:val="00A21648"/>
    <w:rsid w:val="00A245A4"/>
    <w:rsid w:val="00A25643"/>
    <w:rsid w:val="00A26C66"/>
    <w:rsid w:val="00A40EA8"/>
    <w:rsid w:val="00A4460D"/>
    <w:rsid w:val="00A54FAB"/>
    <w:rsid w:val="00A564A5"/>
    <w:rsid w:val="00A565EA"/>
    <w:rsid w:val="00A56842"/>
    <w:rsid w:val="00A601BB"/>
    <w:rsid w:val="00A62085"/>
    <w:rsid w:val="00A626BB"/>
    <w:rsid w:val="00A64839"/>
    <w:rsid w:val="00A66CFB"/>
    <w:rsid w:val="00A730CF"/>
    <w:rsid w:val="00A76332"/>
    <w:rsid w:val="00A7725C"/>
    <w:rsid w:val="00A77734"/>
    <w:rsid w:val="00A80BF8"/>
    <w:rsid w:val="00A84173"/>
    <w:rsid w:val="00A906D2"/>
    <w:rsid w:val="00A90C93"/>
    <w:rsid w:val="00A93942"/>
    <w:rsid w:val="00A94111"/>
    <w:rsid w:val="00A9687C"/>
    <w:rsid w:val="00AA1095"/>
    <w:rsid w:val="00AA47CC"/>
    <w:rsid w:val="00AA5D1E"/>
    <w:rsid w:val="00AA78F5"/>
    <w:rsid w:val="00AA7DDD"/>
    <w:rsid w:val="00AC0AC4"/>
    <w:rsid w:val="00AC2117"/>
    <w:rsid w:val="00AC2326"/>
    <w:rsid w:val="00AD063C"/>
    <w:rsid w:val="00AD5EA0"/>
    <w:rsid w:val="00AD70C2"/>
    <w:rsid w:val="00AE131A"/>
    <w:rsid w:val="00AE1462"/>
    <w:rsid w:val="00AE3930"/>
    <w:rsid w:val="00AE4A5C"/>
    <w:rsid w:val="00AE5AD2"/>
    <w:rsid w:val="00AE606D"/>
    <w:rsid w:val="00AF1B40"/>
    <w:rsid w:val="00AF2ECC"/>
    <w:rsid w:val="00AF5861"/>
    <w:rsid w:val="00B02216"/>
    <w:rsid w:val="00B04FAD"/>
    <w:rsid w:val="00B052FC"/>
    <w:rsid w:val="00B12D61"/>
    <w:rsid w:val="00B144A5"/>
    <w:rsid w:val="00B26E9E"/>
    <w:rsid w:val="00B325C2"/>
    <w:rsid w:val="00B40470"/>
    <w:rsid w:val="00B4182E"/>
    <w:rsid w:val="00B42D15"/>
    <w:rsid w:val="00B459C3"/>
    <w:rsid w:val="00B50706"/>
    <w:rsid w:val="00B5090C"/>
    <w:rsid w:val="00B52964"/>
    <w:rsid w:val="00B557C9"/>
    <w:rsid w:val="00B67BF5"/>
    <w:rsid w:val="00B77D89"/>
    <w:rsid w:val="00B90ADB"/>
    <w:rsid w:val="00B92622"/>
    <w:rsid w:val="00B92941"/>
    <w:rsid w:val="00B93C7C"/>
    <w:rsid w:val="00B94216"/>
    <w:rsid w:val="00B95190"/>
    <w:rsid w:val="00B96561"/>
    <w:rsid w:val="00B9678A"/>
    <w:rsid w:val="00BA0130"/>
    <w:rsid w:val="00BA142C"/>
    <w:rsid w:val="00BA4441"/>
    <w:rsid w:val="00BB2142"/>
    <w:rsid w:val="00BB3F6F"/>
    <w:rsid w:val="00BB4D77"/>
    <w:rsid w:val="00BB64C1"/>
    <w:rsid w:val="00BC1F60"/>
    <w:rsid w:val="00BC3145"/>
    <w:rsid w:val="00BC3BCD"/>
    <w:rsid w:val="00BC438D"/>
    <w:rsid w:val="00BD07C6"/>
    <w:rsid w:val="00BD10E4"/>
    <w:rsid w:val="00BD4B5F"/>
    <w:rsid w:val="00BD4D84"/>
    <w:rsid w:val="00BE2C8B"/>
    <w:rsid w:val="00BE78DF"/>
    <w:rsid w:val="00BF0600"/>
    <w:rsid w:val="00BF27B5"/>
    <w:rsid w:val="00BF485C"/>
    <w:rsid w:val="00BF5F2B"/>
    <w:rsid w:val="00C01EF9"/>
    <w:rsid w:val="00C11089"/>
    <w:rsid w:val="00C117E6"/>
    <w:rsid w:val="00C12CFE"/>
    <w:rsid w:val="00C14400"/>
    <w:rsid w:val="00C14FB4"/>
    <w:rsid w:val="00C20468"/>
    <w:rsid w:val="00C26721"/>
    <w:rsid w:val="00C30479"/>
    <w:rsid w:val="00C3062E"/>
    <w:rsid w:val="00C31E68"/>
    <w:rsid w:val="00C335C8"/>
    <w:rsid w:val="00C34BB8"/>
    <w:rsid w:val="00C367FC"/>
    <w:rsid w:val="00C372E1"/>
    <w:rsid w:val="00C40680"/>
    <w:rsid w:val="00C40ED0"/>
    <w:rsid w:val="00C41FA3"/>
    <w:rsid w:val="00C42FE4"/>
    <w:rsid w:val="00C4402C"/>
    <w:rsid w:val="00C4414A"/>
    <w:rsid w:val="00C448D9"/>
    <w:rsid w:val="00C44B47"/>
    <w:rsid w:val="00C50E92"/>
    <w:rsid w:val="00C52F23"/>
    <w:rsid w:val="00C52FC4"/>
    <w:rsid w:val="00C54ED6"/>
    <w:rsid w:val="00C56D3D"/>
    <w:rsid w:val="00C57EA7"/>
    <w:rsid w:val="00C6047F"/>
    <w:rsid w:val="00C618BE"/>
    <w:rsid w:val="00C6204E"/>
    <w:rsid w:val="00C70EB2"/>
    <w:rsid w:val="00C73A66"/>
    <w:rsid w:val="00C74579"/>
    <w:rsid w:val="00C76CF4"/>
    <w:rsid w:val="00C81341"/>
    <w:rsid w:val="00C848C0"/>
    <w:rsid w:val="00C86435"/>
    <w:rsid w:val="00C90819"/>
    <w:rsid w:val="00C92BD1"/>
    <w:rsid w:val="00C958C7"/>
    <w:rsid w:val="00C95F2A"/>
    <w:rsid w:val="00C96425"/>
    <w:rsid w:val="00CA1832"/>
    <w:rsid w:val="00CB3D00"/>
    <w:rsid w:val="00CB7210"/>
    <w:rsid w:val="00CC11D5"/>
    <w:rsid w:val="00CC63E6"/>
    <w:rsid w:val="00CC6A32"/>
    <w:rsid w:val="00CD2399"/>
    <w:rsid w:val="00CD5E06"/>
    <w:rsid w:val="00CE1473"/>
    <w:rsid w:val="00CE2E85"/>
    <w:rsid w:val="00CE43D2"/>
    <w:rsid w:val="00CE547C"/>
    <w:rsid w:val="00CE5953"/>
    <w:rsid w:val="00CE6418"/>
    <w:rsid w:val="00CE7CDD"/>
    <w:rsid w:val="00CF02AA"/>
    <w:rsid w:val="00CF2410"/>
    <w:rsid w:val="00D03464"/>
    <w:rsid w:val="00D047B0"/>
    <w:rsid w:val="00D05CDA"/>
    <w:rsid w:val="00D07557"/>
    <w:rsid w:val="00D17035"/>
    <w:rsid w:val="00D17E7B"/>
    <w:rsid w:val="00D20299"/>
    <w:rsid w:val="00D210E1"/>
    <w:rsid w:val="00D24199"/>
    <w:rsid w:val="00D25CB3"/>
    <w:rsid w:val="00D26614"/>
    <w:rsid w:val="00D32417"/>
    <w:rsid w:val="00D33832"/>
    <w:rsid w:val="00D342D5"/>
    <w:rsid w:val="00D34E8D"/>
    <w:rsid w:val="00D351E2"/>
    <w:rsid w:val="00D357DA"/>
    <w:rsid w:val="00D3637A"/>
    <w:rsid w:val="00D40082"/>
    <w:rsid w:val="00D446AC"/>
    <w:rsid w:val="00D44C52"/>
    <w:rsid w:val="00D45004"/>
    <w:rsid w:val="00D4798C"/>
    <w:rsid w:val="00D505CC"/>
    <w:rsid w:val="00D51646"/>
    <w:rsid w:val="00D52B3B"/>
    <w:rsid w:val="00D54B59"/>
    <w:rsid w:val="00D569C6"/>
    <w:rsid w:val="00D56A58"/>
    <w:rsid w:val="00D623E8"/>
    <w:rsid w:val="00D66B18"/>
    <w:rsid w:val="00D66FDE"/>
    <w:rsid w:val="00D673B0"/>
    <w:rsid w:val="00D67595"/>
    <w:rsid w:val="00D67BBA"/>
    <w:rsid w:val="00D711B6"/>
    <w:rsid w:val="00D8102C"/>
    <w:rsid w:val="00D82F1D"/>
    <w:rsid w:val="00D832D8"/>
    <w:rsid w:val="00D87208"/>
    <w:rsid w:val="00D902B0"/>
    <w:rsid w:val="00D97CC9"/>
    <w:rsid w:val="00DA1013"/>
    <w:rsid w:val="00DA26DD"/>
    <w:rsid w:val="00DA4CF2"/>
    <w:rsid w:val="00DB0146"/>
    <w:rsid w:val="00DB01D7"/>
    <w:rsid w:val="00DB0716"/>
    <w:rsid w:val="00DB1C24"/>
    <w:rsid w:val="00DC3DC6"/>
    <w:rsid w:val="00DC3E96"/>
    <w:rsid w:val="00DC3FA1"/>
    <w:rsid w:val="00DD24AC"/>
    <w:rsid w:val="00DD7117"/>
    <w:rsid w:val="00DE2585"/>
    <w:rsid w:val="00DE2A07"/>
    <w:rsid w:val="00DE3768"/>
    <w:rsid w:val="00DE45E1"/>
    <w:rsid w:val="00DE4897"/>
    <w:rsid w:val="00DE4E9B"/>
    <w:rsid w:val="00DF3D5B"/>
    <w:rsid w:val="00DF5950"/>
    <w:rsid w:val="00E00924"/>
    <w:rsid w:val="00E01606"/>
    <w:rsid w:val="00E0168C"/>
    <w:rsid w:val="00E04C45"/>
    <w:rsid w:val="00E06B87"/>
    <w:rsid w:val="00E11256"/>
    <w:rsid w:val="00E13D77"/>
    <w:rsid w:val="00E16CAD"/>
    <w:rsid w:val="00E20E81"/>
    <w:rsid w:val="00E230C7"/>
    <w:rsid w:val="00E258CC"/>
    <w:rsid w:val="00E3114A"/>
    <w:rsid w:val="00E3536B"/>
    <w:rsid w:val="00E41352"/>
    <w:rsid w:val="00E43BDA"/>
    <w:rsid w:val="00E5139D"/>
    <w:rsid w:val="00E537BF"/>
    <w:rsid w:val="00E5464A"/>
    <w:rsid w:val="00E5491E"/>
    <w:rsid w:val="00E633E0"/>
    <w:rsid w:val="00E70B57"/>
    <w:rsid w:val="00E7220C"/>
    <w:rsid w:val="00E723F0"/>
    <w:rsid w:val="00E727F4"/>
    <w:rsid w:val="00E7286B"/>
    <w:rsid w:val="00E7485E"/>
    <w:rsid w:val="00E74CC9"/>
    <w:rsid w:val="00E75B83"/>
    <w:rsid w:val="00E850F1"/>
    <w:rsid w:val="00E87E2D"/>
    <w:rsid w:val="00E90C15"/>
    <w:rsid w:val="00E90EAA"/>
    <w:rsid w:val="00E915A3"/>
    <w:rsid w:val="00E94227"/>
    <w:rsid w:val="00EA024C"/>
    <w:rsid w:val="00EA22A0"/>
    <w:rsid w:val="00EA32A7"/>
    <w:rsid w:val="00EB173C"/>
    <w:rsid w:val="00EB4CF6"/>
    <w:rsid w:val="00EB79EF"/>
    <w:rsid w:val="00EC1591"/>
    <w:rsid w:val="00EC29DD"/>
    <w:rsid w:val="00EC36FD"/>
    <w:rsid w:val="00EC47B5"/>
    <w:rsid w:val="00EC4C38"/>
    <w:rsid w:val="00ED199F"/>
    <w:rsid w:val="00ED60AA"/>
    <w:rsid w:val="00ED6699"/>
    <w:rsid w:val="00EE099F"/>
    <w:rsid w:val="00EE2F19"/>
    <w:rsid w:val="00EF102D"/>
    <w:rsid w:val="00EF18DF"/>
    <w:rsid w:val="00EF1FB8"/>
    <w:rsid w:val="00EF34B8"/>
    <w:rsid w:val="00F00B1F"/>
    <w:rsid w:val="00F249B6"/>
    <w:rsid w:val="00F27A5F"/>
    <w:rsid w:val="00F316F7"/>
    <w:rsid w:val="00F3260D"/>
    <w:rsid w:val="00F326FA"/>
    <w:rsid w:val="00F32FEA"/>
    <w:rsid w:val="00F34DDC"/>
    <w:rsid w:val="00F36500"/>
    <w:rsid w:val="00F41331"/>
    <w:rsid w:val="00F4467D"/>
    <w:rsid w:val="00F530C0"/>
    <w:rsid w:val="00F53B0E"/>
    <w:rsid w:val="00F555CA"/>
    <w:rsid w:val="00F571C9"/>
    <w:rsid w:val="00F5798D"/>
    <w:rsid w:val="00F657CC"/>
    <w:rsid w:val="00F817E4"/>
    <w:rsid w:val="00F82257"/>
    <w:rsid w:val="00F85CEE"/>
    <w:rsid w:val="00F90ACC"/>
    <w:rsid w:val="00F92164"/>
    <w:rsid w:val="00F92AE9"/>
    <w:rsid w:val="00F93525"/>
    <w:rsid w:val="00F96664"/>
    <w:rsid w:val="00FA61D1"/>
    <w:rsid w:val="00FA630B"/>
    <w:rsid w:val="00FA6F2D"/>
    <w:rsid w:val="00FA7AFB"/>
    <w:rsid w:val="00FB5D49"/>
    <w:rsid w:val="00FB648B"/>
    <w:rsid w:val="00FC017B"/>
    <w:rsid w:val="00FC0F9A"/>
    <w:rsid w:val="00FC1C84"/>
    <w:rsid w:val="00FC2B55"/>
    <w:rsid w:val="00FC58C2"/>
    <w:rsid w:val="00FC6B37"/>
    <w:rsid w:val="00FC7BF5"/>
    <w:rsid w:val="00FC7E08"/>
    <w:rsid w:val="00FD5379"/>
    <w:rsid w:val="00FD54F4"/>
    <w:rsid w:val="00FD7D03"/>
    <w:rsid w:val="00FE1350"/>
    <w:rsid w:val="00FE44CF"/>
    <w:rsid w:val="00FE5452"/>
    <w:rsid w:val="00FE6871"/>
    <w:rsid w:val="00FF04F7"/>
    <w:rsid w:val="00FF41EB"/>
    <w:rsid w:val="00FF45D5"/>
    <w:rsid w:val="00FF5200"/>
    <w:rsid w:val="00FF5AB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F73DA"/>
  <w15:chartTrackingRefBased/>
  <w15:docId w15:val="{E444E1DA-4FB6-4372-9B96-695B7F75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33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33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33A9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33A9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33A9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33A9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33A9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33A9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33A9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33A9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33A9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33A9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33A9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33A9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33A9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33A9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33A9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33A9D"/>
    <w:rPr>
      <w:rFonts w:eastAsiaTheme="majorEastAsia" w:cstheme="majorBidi"/>
      <w:color w:val="272727" w:themeColor="text1" w:themeTint="D8"/>
    </w:rPr>
  </w:style>
  <w:style w:type="paragraph" w:styleId="Titel">
    <w:name w:val="Title"/>
    <w:basedOn w:val="Normal"/>
    <w:next w:val="Normal"/>
    <w:link w:val="TitelTegn"/>
    <w:uiPriority w:val="10"/>
    <w:qFormat/>
    <w:rsid w:val="00633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33A9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33A9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33A9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33A9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33A9D"/>
    <w:rPr>
      <w:i/>
      <w:iCs/>
      <w:color w:val="404040" w:themeColor="text1" w:themeTint="BF"/>
    </w:rPr>
  </w:style>
  <w:style w:type="paragraph" w:styleId="Listeafsnit">
    <w:name w:val="List Paragraph"/>
    <w:basedOn w:val="Normal"/>
    <w:uiPriority w:val="34"/>
    <w:qFormat/>
    <w:rsid w:val="00633A9D"/>
    <w:pPr>
      <w:ind w:left="720"/>
      <w:contextualSpacing/>
    </w:pPr>
  </w:style>
  <w:style w:type="character" w:styleId="Kraftigfremhvning">
    <w:name w:val="Intense Emphasis"/>
    <w:basedOn w:val="Standardskrifttypeiafsnit"/>
    <w:uiPriority w:val="21"/>
    <w:qFormat/>
    <w:rsid w:val="00633A9D"/>
    <w:rPr>
      <w:i/>
      <w:iCs/>
      <w:color w:val="0F4761" w:themeColor="accent1" w:themeShade="BF"/>
    </w:rPr>
  </w:style>
  <w:style w:type="paragraph" w:styleId="Strktcitat">
    <w:name w:val="Intense Quote"/>
    <w:basedOn w:val="Normal"/>
    <w:next w:val="Normal"/>
    <w:link w:val="StrktcitatTegn"/>
    <w:uiPriority w:val="30"/>
    <w:qFormat/>
    <w:rsid w:val="00633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33A9D"/>
    <w:rPr>
      <w:i/>
      <w:iCs/>
      <w:color w:val="0F4761" w:themeColor="accent1" w:themeShade="BF"/>
    </w:rPr>
  </w:style>
  <w:style w:type="character" w:styleId="Kraftighenvisning">
    <w:name w:val="Intense Reference"/>
    <w:basedOn w:val="Standardskrifttypeiafsnit"/>
    <w:uiPriority w:val="32"/>
    <w:qFormat/>
    <w:rsid w:val="00633A9D"/>
    <w:rPr>
      <w:b/>
      <w:bCs/>
      <w:smallCaps/>
      <w:color w:val="0F4761" w:themeColor="accent1" w:themeShade="BF"/>
      <w:spacing w:val="5"/>
    </w:rPr>
  </w:style>
  <w:style w:type="paragraph" w:styleId="Sidehoved">
    <w:name w:val="header"/>
    <w:basedOn w:val="Normal"/>
    <w:link w:val="SidehovedTegn"/>
    <w:uiPriority w:val="99"/>
    <w:unhideWhenUsed/>
    <w:rsid w:val="00A906D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906D2"/>
  </w:style>
  <w:style w:type="paragraph" w:styleId="Sidefod">
    <w:name w:val="footer"/>
    <w:basedOn w:val="Normal"/>
    <w:link w:val="SidefodTegn"/>
    <w:uiPriority w:val="99"/>
    <w:unhideWhenUsed/>
    <w:rsid w:val="00A906D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906D2"/>
  </w:style>
  <w:style w:type="paragraph" w:styleId="Korrektur">
    <w:name w:val="Revision"/>
    <w:hidden/>
    <w:uiPriority w:val="99"/>
    <w:semiHidden/>
    <w:rsid w:val="006A3B88"/>
    <w:pPr>
      <w:spacing w:after="0" w:line="240" w:lineRule="auto"/>
    </w:pPr>
  </w:style>
  <w:style w:type="character" w:styleId="Kommentarhenvisning">
    <w:name w:val="annotation reference"/>
    <w:basedOn w:val="Standardskrifttypeiafsnit"/>
    <w:uiPriority w:val="99"/>
    <w:semiHidden/>
    <w:unhideWhenUsed/>
    <w:rsid w:val="000E37BB"/>
    <w:rPr>
      <w:sz w:val="16"/>
      <w:szCs w:val="16"/>
    </w:rPr>
  </w:style>
  <w:style w:type="paragraph" w:styleId="Kommentartekst">
    <w:name w:val="annotation text"/>
    <w:basedOn w:val="Normal"/>
    <w:link w:val="KommentartekstTegn"/>
    <w:uiPriority w:val="99"/>
    <w:unhideWhenUsed/>
    <w:rsid w:val="000E37BB"/>
    <w:pPr>
      <w:spacing w:line="240" w:lineRule="auto"/>
    </w:pPr>
    <w:rPr>
      <w:sz w:val="20"/>
      <w:szCs w:val="20"/>
    </w:rPr>
  </w:style>
  <w:style w:type="character" w:customStyle="1" w:styleId="KommentartekstTegn">
    <w:name w:val="Kommentartekst Tegn"/>
    <w:basedOn w:val="Standardskrifttypeiafsnit"/>
    <w:link w:val="Kommentartekst"/>
    <w:uiPriority w:val="99"/>
    <w:rsid w:val="000E37BB"/>
    <w:rPr>
      <w:sz w:val="20"/>
      <w:szCs w:val="20"/>
    </w:rPr>
  </w:style>
  <w:style w:type="paragraph" w:styleId="Kommentaremne">
    <w:name w:val="annotation subject"/>
    <w:basedOn w:val="Kommentartekst"/>
    <w:next w:val="Kommentartekst"/>
    <w:link w:val="KommentaremneTegn"/>
    <w:uiPriority w:val="99"/>
    <w:semiHidden/>
    <w:unhideWhenUsed/>
    <w:rsid w:val="000E37BB"/>
    <w:rPr>
      <w:b/>
      <w:bCs/>
    </w:rPr>
  </w:style>
  <w:style w:type="character" w:customStyle="1" w:styleId="KommentaremneTegn">
    <w:name w:val="Kommentaremne Tegn"/>
    <w:basedOn w:val="KommentartekstTegn"/>
    <w:link w:val="Kommentaremne"/>
    <w:uiPriority w:val="99"/>
    <w:semiHidden/>
    <w:rsid w:val="000E37BB"/>
    <w:rPr>
      <w:b/>
      <w:bCs/>
      <w:sz w:val="20"/>
      <w:szCs w:val="20"/>
    </w:rPr>
  </w:style>
  <w:style w:type="paragraph" w:styleId="Fodnotetekst">
    <w:name w:val="footnote text"/>
    <w:basedOn w:val="Normal"/>
    <w:link w:val="FodnotetekstTegn"/>
    <w:uiPriority w:val="99"/>
    <w:semiHidden/>
    <w:unhideWhenUsed/>
    <w:rsid w:val="008141CE"/>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141CE"/>
    <w:rPr>
      <w:sz w:val="20"/>
      <w:szCs w:val="20"/>
    </w:rPr>
  </w:style>
  <w:style w:type="character" w:styleId="Fodnotehenvisning">
    <w:name w:val="footnote reference"/>
    <w:basedOn w:val="Standardskrifttypeiafsnit"/>
    <w:uiPriority w:val="99"/>
    <w:semiHidden/>
    <w:unhideWhenUsed/>
    <w:rsid w:val="008141CE"/>
    <w:rPr>
      <w:vertAlign w:val="superscript"/>
    </w:rPr>
  </w:style>
  <w:style w:type="paragraph" w:customStyle="1" w:styleId="pf0">
    <w:name w:val="pf0"/>
    <w:basedOn w:val="Normal"/>
    <w:rsid w:val="004C56E6"/>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customStyle="1" w:styleId="cf01">
    <w:name w:val="cf01"/>
    <w:basedOn w:val="Standardskrifttypeiafsnit"/>
    <w:rsid w:val="004C56E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223986">
      <w:bodyDiv w:val="1"/>
      <w:marLeft w:val="0"/>
      <w:marRight w:val="0"/>
      <w:marTop w:val="0"/>
      <w:marBottom w:val="0"/>
      <w:divBdr>
        <w:top w:val="none" w:sz="0" w:space="0" w:color="auto"/>
        <w:left w:val="none" w:sz="0" w:space="0" w:color="auto"/>
        <w:bottom w:val="none" w:sz="0" w:space="0" w:color="auto"/>
        <w:right w:val="none" w:sz="0" w:space="0" w:color="auto"/>
      </w:divBdr>
    </w:div>
    <w:div w:id="672994317">
      <w:bodyDiv w:val="1"/>
      <w:marLeft w:val="0"/>
      <w:marRight w:val="0"/>
      <w:marTop w:val="0"/>
      <w:marBottom w:val="0"/>
      <w:divBdr>
        <w:top w:val="none" w:sz="0" w:space="0" w:color="auto"/>
        <w:left w:val="none" w:sz="0" w:space="0" w:color="auto"/>
        <w:bottom w:val="none" w:sz="0" w:space="0" w:color="auto"/>
        <w:right w:val="none" w:sz="0" w:space="0" w:color="auto"/>
      </w:divBdr>
    </w:div>
    <w:div w:id="825051506">
      <w:bodyDiv w:val="1"/>
      <w:marLeft w:val="0"/>
      <w:marRight w:val="0"/>
      <w:marTop w:val="0"/>
      <w:marBottom w:val="0"/>
      <w:divBdr>
        <w:top w:val="none" w:sz="0" w:space="0" w:color="auto"/>
        <w:left w:val="none" w:sz="0" w:space="0" w:color="auto"/>
        <w:bottom w:val="none" w:sz="0" w:space="0" w:color="auto"/>
        <w:right w:val="none" w:sz="0" w:space="0" w:color="auto"/>
      </w:divBdr>
    </w:div>
    <w:div w:id="983701770">
      <w:bodyDiv w:val="1"/>
      <w:marLeft w:val="0"/>
      <w:marRight w:val="0"/>
      <w:marTop w:val="0"/>
      <w:marBottom w:val="0"/>
      <w:divBdr>
        <w:top w:val="none" w:sz="0" w:space="0" w:color="auto"/>
        <w:left w:val="none" w:sz="0" w:space="0" w:color="auto"/>
        <w:bottom w:val="none" w:sz="0" w:space="0" w:color="auto"/>
        <w:right w:val="none" w:sz="0" w:space="0" w:color="auto"/>
      </w:divBdr>
    </w:div>
    <w:div w:id="1152453678">
      <w:bodyDiv w:val="1"/>
      <w:marLeft w:val="0"/>
      <w:marRight w:val="0"/>
      <w:marTop w:val="0"/>
      <w:marBottom w:val="0"/>
      <w:divBdr>
        <w:top w:val="none" w:sz="0" w:space="0" w:color="auto"/>
        <w:left w:val="none" w:sz="0" w:space="0" w:color="auto"/>
        <w:bottom w:val="none" w:sz="0" w:space="0" w:color="auto"/>
        <w:right w:val="none" w:sz="0" w:space="0" w:color="auto"/>
      </w:divBdr>
    </w:div>
    <w:div w:id="130327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55CC6-BEC5-4055-8307-0CD2CDDC7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1870</Words>
  <Characters>10044</Characters>
  <Application>Microsoft Office Word</Application>
  <DocSecurity>0</DocSecurity>
  <Lines>147</Lines>
  <Paragraphs>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Lea Kolmos Weis LKW</cp:lastModifiedBy>
  <cp:revision>8</cp:revision>
  <dcterms:created xsi:type="dcterms:W3CDTF">2025-12-01T08:48:00Z</dcterms:created>
  <dcterms:modified xsi:type="dcterms:W3CDTF">2025-12-01T09:23:00Z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ckChanges">
    <vt:lpwstr>28</vt:lpwstr>
  </property>
</Properties>
</file>