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5F2D" w14:textId="77777777" w:rsidR="00876A1C" w:rsidRDefault="00876A1C" w:rsidP="00C14D7E">
      <w:pPr>
        <w:rPr>
          <w:rFonts w:ascii="Times New Roman" w:hAnsi="Times New Roman" w:cs="Times New Roman"/>
          <w:b/>
          <w:bCs/>
          <w:lang w:val="en-US"/>
        </w:rPr>
      </w:pPr>
      <w:r>
        <w:rPr>
          <w:rFonts w:ascii="Times New Roman" w:hAnsi="Times New Roman" w:cs="Times New Roman"/>
          <w:b/>
          <w:bCs/>
          <w:lang w:val="en-US"/>
        </w:rPr>
        <w:t>Part I</w:t>
      </w:r>
    </w:p>
    <w:p w14:paraId="5CDC13FE" w14:textId="77777777" w:rsidR="00876A1C" w:rsidRDefault="00876A1C" w:rsidP="00C14D7E">
      <w:pPr>
        <w:rPr>
          <w:rFonts w:ascii="Times New Roman" w:hAnsi="Times New Roman" w:cs="Times New Roman"/>
          <w:b/>
          <w:bCs/>
          <w:lang w:val="en-US"/>
        </w:rPr>
      </w:pPr>
      <w:r>
        <w:rPr>
          <w:rFonts w:ascii="Times New Roman" w:hAnsi="Times New Roman" w:cs="Times New Roman"/>
          <w:b/>
          <w:bCs/>
          <w:lang w:val="en-US"/>
        </w:rPr>
        <w:t xml:space="preserve">Draft </w:t>
      </w:r>
      <w:r w:rsidRPr="005C68FC">
        <w:rPr>
          <w:rFonts w:ascii="Times New Roman" w:hAnsi="Times New Roman" w:cs="Times New Roman"/>
          <w:b/>
          <w:bCs/>
          <w:lang w:val="en-US"/>
        </w:rPr>
        <w:t>Rules of Procedure of the Compliance Committee of the International Seabed Authority</w:t>
      </w:r>
    </w:p>
    <w:p w14:paraId="01F7DE87" w14:textId="77777777" w:rsidR="00876A1C" w:rsidRPr="005C68FC" w:rsidRDefault="00876A1C" w:rsidP="00C14D7E">
      <w:pPr>
        <w:rPr>
          <w:rFonts w:ascii="Times New Roman" w:hAnsi="Times New Roman" w:cs="Times New Roman"/>
          <w:lang w:val="en-US"/>
        </w:rPr>
      </w:pPr>
      <w:r>
        <w:rPr>
          <w:rFonts w:ascii="Times New Roman" w:hAnsi="Times New Roman" w:cs="Times New Roman"/>
          <w:b/>
          <w:bCs/>
          <w:lang w:val="en-US"/>
        </w:rPr>
        <w:t>(Working document – content for consideration)</w:t>
      </w:r>
    </w:p>
    <w:p w14:paraId="1D20A00F" w14:textId="77777777" w:rsidR="00876A1C" w:rsidRPr="00EC40E9" w:rsidRDefault="00876A1C" w:rsidP="00C14D7E">
      <w:pPr>
        <w:rPr>
          <w:rFonts w:ascii="Times New Roman" w:hAnsi="Times New Roman" w:cs="Times New Roman"/>
          <w:sz w:val="20"/>
          <w:szCs w:val="20"/>
          <w:lang w:val="en-US"/>
        </w:rPr>
      </w:pPr>
      <w:r w:rsidRPr="005C68FC">
        <w:rPr>
          <w:rFonts w:ascii="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793D8EDF" wp14:editId="499EF1A1">
                <wp:simplePos x="0" y="0"/>
                <wp:positionH relativeFrom="column">
                  <wp:posOffset>50800</wp:posOffset>
                </wp:positionH>
                <wp:positionV relativeFrom="paragraph">
                  <wp:posOffset>219075</wp:posOffset>
                </wp:positionV>
                <wp:extent cx="5946775" cy="5431790"/>
                <wp:effectExtent l="0" t="0" r="15875" b="1651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5431790"/>
                        </a:xfrm>
                        <a:prstGeom prst="rect">
                          <a:avLst/>
                        </a:prstGeom>
                        <a:solidFill>
                          <a:srgbClr val="FFFFFF"/>
                        </a:solidFill>
                        <a:ln w="9525">
                          <a:solidFill>
                            <a:srgbClr val="000000"/>
                          </a:solidFill>
                          <a:miter lim="800000"/>
                          <a:headEnd/>
                          <a:tailEnd/>
                        </a:ln>
                      </wps:spPr>
                      <wps:txbx>
                        <w:txbxContent>
                          <w:p w14:paraId="2779CD5B" w14:textId="22DD3B21"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Explanatory Note</w:t>
                            </w:r>
                          </w:p>
                          <w:p w14:paraId="06C7E63E"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Status of this Document</w:t>
                            </w:r>
                          </w:p>
                          <w:p w14:paraId="3DD88542" w14:textId="77777777" w:rsidR="00876A1C"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 xml:space="preserve">This document contains preliminary content for the draft Rules of Procedure of the Compliance Committee. It is a work in progress and should not be considered final. The content primarily comprises elements transferred from the draft </w:t>
                            </w:r>
                            <w:r>
                              <w:rPr>
                                <w:rFonts w:ascii="Times New Roman" w:hAnsi="Times New Roman" w:cs="Times New Roman"/>
                                <w:sz w:val="20"/>
                                <w:szCs w:val="20"/>
                                <w:lang w:val="en-US"/>
                              </w:rPr>
                              <w:t>R</w:t>
                            </w:r>
                            <w:r w:rsidRPr="008A0C45">
                              <w:rPr>
                                <w:rFonts w:ascii="Times New Roman" w:hAnsi="Times New Roman" w:cs="Times New Roman"/>
                                <w:sz w:val="20"/>
                                <w:szCs w:val="20"/>
                                <w:lang w:val="en-US"/>
                              </w:rPr>
                              <w:t>egulations</w:t>
                            </w:r>
                            <w:r>
                              <w:rPr>
                                <w:rFonts w:ascii="Times New Roman" w:hAnsi="Times New Roman" w:cs="Times New Roman"/>
                                <w:sz w:val="20"/>
                                <w:szCs w:val="20"/>
                                <w:lang w:val="en-US"/>
                              </w:rPr>
                              <w:t xml:space="preserve"> - </w:t>
                            </w:r>
                            <w:r w:rsidRPr="008A0C45">
                              <w:rPr>
                                <w:rFonts w:ascii="Times New Roman" w:hAnsi="Times New Roman" w:cs="Times New Roman"/>
                                <w:sz w:val="20"/>
                                <w:szCs w:val="20"/>
                                <w:lang w:val="en-US"/>
                              </w:rPr>
                              <w:t>particularly draft regulation 102</w:t>
                            </w:r>
                            <w:r>
                              <w:rPr>
                                <w:rFonts w:ascii="Times New Roman" w:hAnsi="Times New Roman" w:cs="Times New Roman"/>
                                <w:sz w:val="20"/>
                                <w:szCs w:val="20"/>
                                <w:lang w:val="en-US"/>
                              </w:rPr>
                              <w:t xml:space="preserve"> - </w:t>
                            </w:r>
                            <w:r w:rsidRPr="008A0C45">
                              <w:rPr>
                                <w:rFonts w:ascii="Times New Roman" w:hAnsi="Times New Roman" w:cs="Times New Roman"/>
                                <w:sz w:val="20"/>
                                <w:szCs w:val="20"/>
                                <w:lang w:val="en-US"/>
                              </w:rPr>
                              <w:t xml:space="preserve">as these </w:t>
                            </w:r>
                            <w:r>
                              <w:rPr>
                                <w:rFonts w:ascii="Times New Roman" w:hAnsi="Times New Roman" w:cs="Times New Roman"/>
                                <w:sz w:val="20"/>
                                <w:szCs w:val="20"/>
                                <w:lang w:val="en-US"/>
                              </w:rPr>
                              <w:t>regulations</w:t>
                            </w:r>
                            <w:r w:rsidRPr="008A0C45">
                              <w:rPr>
                                <w:rFonts w:ascii="Times New Roman" w:hAnsi="Times New Roman" w:cs="Times New Roman"/>
                                <w:sz w:val="20"/>
                                <w:szCs w:val="20"/>
                                <w:lang w:val="en-US"/>
                              </w:rPr>
                              <w:t xml:space="preserve"> are considered more appropriately situated in the future Rules of Procedure of the Compliance Committee.</w:t>
                            </w:r>
                          </w:p>
                          <w:p w14:paraId="367CF950"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This document should therefore be regarded as a working document containing relevant input for future consideration.</w:t>
                            </w:r>
                          </w:p>
                          <w:p w14:paraId="73753EB6"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Recommended Process</w:t>
                            </w:r>
                          </w:p>
                          <w:p w14:paraId="73F3C559" w14:textId="77777777" w:rsidR="00876A1C"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 xml:space="preserve">For previous subsidiary organs (the Finance Committee and the Legal and Technical Commission), the Secretariat prepared draft rules of procedure for consideration by the respective organs following the election of their members. It is recommended that the same process be followed for the Compliance Committee. </w:t>
                            </w:r>
                          </w:p>
                          <w:p w14:paraId="69E6E3A3"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 xml:space="preserve">Accordingly, the Rules of Procedure should not be annexed to the draft Council decision, as they need to be elaborated by the Compliance Committee following the election of its members. </w:t>
                            </w:r>
                          </w:p>
                          <w:p w14:paraId="59B7CB3D"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Sources</w:t>
                            </w:r>
                          </w:p>
                          <w:p w14:paraId="7AFCD9FE"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The document draws largely upon:</w:t>
                            </w:r>
                          </w:p>
                          <w:p w14:paraId="5143E89F" w14:textId="77777777" w:rsidR="00876A1C" w:rsidRPr="008A0C45" w:rsidRDefault="00876A1C" w:rsidP="00C14D7E">
                            <w:pPr>
                              <w:numPr>
                                <w:ilvl w:val="0"/>
                                <w:numId w:val="11"/>
                              </w:numPr>
                              <w:rPr>
                                <w:rFonts w:ascii="Times New Roman" w:hAnsi="Times New Roman" w:cs="Times New Roman"/>
                                <w:sz w:val="20"/>
                                <w:szCs w:val="20"/>
                              </w:rPr>
                            </w:pPr>
                            <w:r>
                              <w:rPr>
                                <w:rFonts w:ascii="Times New Roman" w:hAnsi="Times New Roman" w:cs="Times New Roman"/>
                                <w:sz w:val="20"/>
                                <w:szCs w:val="20"/>
                              </w:rPr>
                              <w:t>c</w:t>
                            </w:r>
                            <w:r w:rsidRPr="008A0C45">
                              <w:rPr>
                                <w:rFonts w:ascii="Times New Roman" w:hAnsi="Times New Roman" w:cs="Times New Roman"/>
                                <w:sz w:val="20"/>
                                <w:szCs w:val="20"/>
                              </w:rPr>
                              <w:t>ontent from draft regulation 102;</w:t>
                            </w:r>
                          </w:p>
                          <w:p w14:paraId="354005A3" w14:textId="77777777" w:rsidR="00876A1C" w:rsidRPr="008A0C45" w:rsidRDefault="00876A1C" w:rsidP="00C14D7E">
                            <w:pPr>
                              <w:numPr>
                                <w:ilvl w:val="0"/>
                                <w:numId w:val="11"/>
                              </w:numPr>
                              <w:rPr>
                                <w:rFonts w:ascii="Times New Roman" w:hAnsi="Times New Roman" w:cs="Times New Roman"/>
                                <w:sz w:val="20"/>
                                <w:szCs w:val="20"/>
                                <w:lang w:val="en-US"/>
                              </w:rPr>
                            </w:pPr>
                            <w:r>
                              <w:rPr>
                                <w:rFonts w:ascii="Times New Roman" w:hAnsi="Times New Roman" w:cs="Times New Roman"/>
                                <w:sz w:val="20"/>
                                <w:szCs w:val="20"/>
                                <w:lang w:val="en-US"/>
                              </w:rPr>
                              <w:t>d</w:t>
                            </w:r>
                            <w:r w:rsidRPr="008A0C45">
                              <w:rPr>
                                <w:rFonts w:ascii="Times New Roman" w:hAnsi="Times New Roman" w:cs="Times New Roman"/>
                                <w:sz w:val="20"/>
                                <w:szCs w:val="20"/>
                                <w:lang w:val="en-US"/>
                              </w:rPr>
                              <w:t>iscussions of the Informal Intersessional Working Group on ICE during the July 2025 meeting; and</w:t>
                            </w:r>
                          </w:p>
                          <w:p w14:paraId="74250AF0" w14:textId="77777777" w:rsidR="00876A1C" w:rsidRPr="008A0C45" w:rsidRDefault="00876A1C" w:rsidP="00C14D7E">
                            <w:pPr>
                              <w:numPr>
                                <w:ilvl w:val="0"/>
                                <w:numId w:val="11"/>
                              </w:numPr>
                              <w:rPr>
                                <w:rFonts w:ascii="Times New Roman" w:hAnsi="Times New Roman" w:cs="Times New Roman"/>
                                <w:sz w:val="20"/>
                                <w:szCs w:val="20"/>
                                <w:lang w:val="en-US"/>
                              </w:rPr>
                            </w:pPr>
                            <w:r>
                              <w:rPr>
                                <w:rFonts w:ascii="Times New Roman" w:hAnsi="Times New Roman" w:cs="Times New Roman"/>
                                <w:sz w:val="20"/>
                                <w:szCs w:val="20"/>
                                <w:lang w:val="en-US"/>
                              </w:rPr>
                              <w:t>t</w:t>
                            </w:r>
                            <w:r w:rsidRPr="008A0C45">
                              <w:rPr>
                                <w:rFonts w:ascii="Times New Roman" w:hAnsi="Times New Roman" w:cs="Times New Roman"/>
                                <w:sz w:val="20"/>
                                <w:szCs w:val="20"/>
                                <w:lang w:val="en-US"/>
                              </w:rPr>
                              <w:t>he Group's intersessional exchanges during the second part of 2025.</w:t>
                            </w:r>
                          </w:p>
                          <w:p w14:paraId="4C219964"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Anticipated Further Developments</w:t>
                            </w:r>
                          </w:p>
                          <w:p w14:paraId="40066313"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Additional discussions are expected on the proposed compliance strategy, the Authority's Inspection Programme, and the Inspectors Code of Conduct. These discussions may result in consequential amendments to the draft Rules of Procedure of the Compliance Committee.</w:t>
                            </w:r>
                          </w:p>
                          <w:p w14:paraId="5013B042" w14:textId="77777777" w:rsidR="00876A1C" w:rsidRPr="008A0C45" w:rsidRDefault="00876A1C" w:rsidP="00C14D7E">
                            <w:pPr>
                              <w:rPr>
                                <w:rFonts w:ascii="Times New Roman" w:hAnsi="Times New Roman" w:cs="Times New Roman"/>
                                <w:sz w:val="20"/>
                                <w:szCs w:val="20"/>
                                <w:lang w:val="en-US"/>
                              </w:rPr>
                            </w:pPr>
                          </w:p>
                          <w:p w14:paraId="1E5DC472" w14:textId="77777777" w:rsidR="00876A1C" w:rsidRPr="00F65F6F" w:rsidRDefault="00876A1C" w:rsidP="00C14D7E">
                            <w:pPr>
                              <w:rPr>
                                <w:lang w:val="en-J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D8EDF" id="_x0000_t202" coordsize="21600,21600" o:spt="202" path="m,l,21600r21600,l21600,xe">
                <v:stroke joinstyle="miter"/>
                <v:path gradientshapeok="t" o:connecttype="rect"/>
              </v:shapetype>
              <v:shape id="Tekstfelt 2" o:spid="_x0000_s1026" type="#_x0000_t202" style="position:absolute;margin-left:4pt;margin-top:17.25pt;width:468.25pt;height:4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">
                <v:textbox>
                  <w:txbxContent>
                    <w:p w14:paraId="2779CD5B" w14:textId="22DD3B21"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Explanatory Note</w:t>
                      </w:r>
                    </w:p>
                    <w:p w14:paraId="06C7E63E"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Status of this Document</w:t>
                      </w:r>
                    </w:p>
                    <w:p w14:paraId="3DD88542" w14:textId="77777777" w:rsidR="00876A1C"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 xml:space="preserve">This document contains preliminary content for the draft Rules of Procedure of the Compliance Committee. It is a work in progress and should not be considered final. The content primarily comprises elements transferred from the draft </w:t>
                      </w:r>
                      <w:r>
                        <w:rPr>
                          <w:rFonts w:ascii="Times New Roman" w:hAnsi="Times New Roman" w:cs="Times New Roman"/>
                          <w:sz w:val="20"/>
                          <w:szCs w:val="20"/>
                          <w:lang w:val="en-US"/>
                        </w:rPr>
                        <w:t>R</w:t>
                      </w:r>
                      <w:r w:rsidRPr="008A0C45">
                        <w:rPr>
                          <w:rFonts w:ascii="Times New Roman" w:hAnsi="Times New Roman" w:cs="Times New Roman"/>
                          <w:sz w:val="20"/>
                          <w:szCs w:val="20"/>
                          <w:lang w:val="en-US"/>
                        </w:rPr>
                        <w:t>egulations</w:t>
                      </w:r>
                      <w:r>
                        <w:rPr>
                          <w:rFonts w:ascii="Times New Roman" w:hAnsi="Times New Roman" w:cs="Times New Roman"/>
                          <w:sz w:val="20"/>
                          <w:szCs w:val="20"/>
                          <w:lang w:val="en-US"/>
                        </w:rPr>
                        <w:t xml:space="preserve"> - </w:t>
                      </w:r>
                      <w:r w:rsidRPr="008A0C45">
                        <w:rPr>
                          <w:rFonts w:ascii="Times New Roman" w:hAnsi="Times New Roman" w:cs="Times New Roman"/>
                          <w:sz w:val="20"/>
                          <w:szCs w:val="20"/>
                          <w:lang w:val="en-US"/>
                        </w:rPr>
                        <w:t>particularly draft regulation 102</w:t>
                      </w:r>
                      <w:r>
                        <w:rPr>
                          <w:rFonts w:ascii="Times New Roman" w:hAnsi="Times New Roman" w:cs="Times New Roman"/>
                          <w:sz w:val="20"/>
                          <w:szCs w:val="20"/>
                          <w:lang w:val="en-US"/>
                        </w:rPr>
                        <w:t xml:space="preserve"> - </w:t>
                      </w:r>
                      <w:r w:rsidRPr="008A0C45">
                        <w:rPr>
                          <w:rFonts w:ascii="Times New Roman" w:hAnsi="Times New Roman" w:cs="Times New Roman"/>
                          <w:sz w:val="20"/>
                          <w:szCs w:val="20"/>
                          <w:lang w:val="en-US"/>
                        </w:rPr>
                        <w:t xml:space="preserve">as these </w:t>
                      </w:r>
                      <w:r>
                        <w:rPr>
                          <w:rFonts w:ascii="Times New Roman" w:hAnsi="Times New Roman" w:cs="Times New Roman"/>
                          <w:sz w:val="20"/>
                          <w:szCs w:val="20"/>
                          <w:lang w:val="en-US"/>
                        </w:rPr>
                        <w:t>regulations</w:t>
                      </w:r>
                      <w:r w:rsidRPr="008A0C45">
                        <w:rPr>
                          <w:rFonts w:ascii="Times New Roman" w:hAnsi="Times New Roman" w:cs="Times New Roman"/>
                          <w:sz w:val="20"/>
                          <w:szCs w:val="20"/>
                          <w:lang w:val="en-US"/>
                        </w:rPr>
                        <w:t xml:space="preserve"> are considered more appropriately situated in the future Rules of Procedure of the Compliance Committee.</w:t>
                      </w:r>
                    </w:p>
                    <w:p w14:paraId="367CF950"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This document should therefore be regarded as a working document containing relevant input for future consideration.</w:t>
                      </w:r>
                    </w:p>
                    <w:p w14:paraId="73753EB6"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Recommended Process</w:t>
                      </w:r>
                    </w:p>
                    <w:p w14:paraId="73F3C559" w14:textId="77777777" w:rsidR="00876A1C"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 xml:space="preserve">For previous subsidiary organs (the Finance Committee and the Legal and Technical Commission), the Secretariat prepared draft rules of procedure for consideration by the respective organs following the election of their members. It is recommended that the same process be followed for the Compliance Committee. </w:t>
                      </w:r>
                    </w:p>
                    <w:p w14:paraId="69E6E3A3"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 xml:space="preserve">Accordingly, the Rules of Procedure should not be annexed to the draft Council decision, as they need to be elaborated by the Compliance Committee following the election of its members. </w:t>
                      </w:r>
                    </w:p>
                    <w:p w14:paraId="59B7CB3D"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Sources</w:t>
                      </w:r>
                    </w:p>
                    <w:p w14:paraId="7AFCD9FE"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The document draws largely upon:</w:t>
                      </w:r>
                    </w:p>
                    <w:p w14:paraId="5143E89F" w14:textId="77777777" w:rsidR="00876A1C" w:rsidRPr="008A0C45" w:rsidRDefault="00876A1C" w:rsidP="00C14D7E">
                      <w:pPr>
                        <w:numPr>
                          <w:ilvl w:val="0"/>
                          <w:numId w:val="11"/>
                        </w:numPr>
                        <w:rPr>
                          <w:rFonts w:ascii="Times New Roman" w:hAnsi="Times New Roman" w:cs="Times New Roman"/>
                          <w:sz w:val="20"/>
                          <w:szCs w:val="20"/>
                        </w:rPr>
                      </w:pPr>
                      <w:r>
                        <w:rPr>
                          <w:rFonts w:ascii="Times New Roman" w:hAnsi="Times New Roman" w:cs="Times New Roman"/>
                          <w:sz w:val="20"/>
                          <w:szCs w:val="20"/>
                        </w:rPr>
                        <w:t>c</w:t>
                      </w:r>
                      <w:r w:rsidRPr="008A0C45">
                        <w:rPr>
                          <w:rFonts w:ascii="Times New Roman" w:hAnsi="Times New Roman" w:cs="Times New Roman"/>
                          <w:sz w:val="20"/>
                          <w:szCs w:val="20"/>
                        </w:rPr>
                        <w:t>ontent from draft regulation 102;</w:t>
                      </w:r>
                    </w:p>
                    <w:p w14:paraId="354005A3" w14:textId="77777777" w:rsidR="00876A1C" w:rsidRPr="008A0C45" w:rsidRDefault="00876A1C" w:rsidP="00C14D7E">
                      <w:pPr>
                        <w:numPr>
                          <w:ilvl w:val="0"/>
                          <w:numId w:val="11"/>
                        </w:numPr>
                        <w:rPr>
                          <w:rFonts w:ascii="Times New Roman" w:hAnsi="Times New Roman" w:cs="Times New Roman"/>
                          <w:sz w:val="20"/>
                          <w:szCs w:val="20"/>
                          <w:lang w:val="en-US"/>
                        </w:rPr>
                      </w:pPr>
                      <w:r>
                        <w:rPr>
                          <w:rFonts w:ascii="Times New Roman" w:hAnsi="Times New Roman" w:cs="Times New Roman"/>
                          <w:sz w:val="20"/>
                          <w:szCs w:val="20"/>
                          <w:lang w:val="en-US"/>
                        </w:rPr>
                        <w:t>d</w:t>
                      </w:r>
                      <w:r w:rsidRPr="008A0C45">
                        <w:rPr>
                          <w:rFonts w:ascii="Times New Roman" w:hAnsi="Times New Roman" w:cs="Times New Roman"/>
                          <w:sz w:val="20"/>
                          <w:szCs w:val="20"/>
                          <w:lang w:val="en-US"/>
                        </w:rPr>
                        <w:t>iscussions of the Informal Intersessional Working Group on ICE during the July 2025 meeting; and</w:t>
                      </w:r>
                    </w:p>
                    <w:p w14:paraId="74250AF0" w14:textId="77777777" w:rsidR="00876A1C" w:rsidRPr="008A0C45" w:rsidRDefault="00876A1C" w:rsidP="00C14D7E">
                      <w:pPr>
                        <w:numPr>
                          <w:ilvl w:val="0"/>
                          <w:numId w:val="11"/>
                        </w:numPr>
                        <w:rPr>
                          <w:rFonts w:ascii="Times New Roman" w:hAnsi="Times New Roman" w:cs="Times New Roman"/>
                          <w:sz w:val="20"/>
                          <w:szCs w:val="20"/>
                          <w:lang w:val="en-US"/>
                        </w:rPr>
                      </w:pPr>
                      <w:r>
                        <w:rPr>
                          <w:rFonts w:ascii="Times New Roman" w:hAnsi="Times New Roman" w:cs="Times New Roman"/>
                          <w:sz w:val="20"/>
                          <w:szCs w:val="20"/>
                          <w:lang w:val="en-US"/>
                        </w:rPr>
                        <w:t>t</w:t>
                      </w:r>
                      <w:r w:rsidRPr="008A0C45">
                        <w:rPr>
                          <w:rFonts w:ascii="Times New Roman" w:hAnsi="Times New Roman" w:cs="Times New Roman"/>
                          <w:sz w:val="20"/>
                          <w:szCs w:val="20"/>
                          <w:lang w:val="en-US"/>
                        </w:rPr>
                        <w:t>he Group's intersessional exchanges during the second part of 2025.</w:t>
                      </w:r>
                    </w:p>
                    <w:p w14:paraId="4C219964"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b/>
                          <w:bCs/>
                          <w:sz w:val="20"/>
                          <w:szCs w:val="20"/>
                          <w:lang w:val="en-US"/>
                        </w:rPr>
                        <w:t>Anticipated Further Developments</w:t>
                      </w:r>
                    </w:p>
                    <w:p w14:paraId="40066313" w14:textId="77777777" w:rsidR="00876A1C" w:rsidRPr="008A0C45" w:rsidRDefault="00876A1C" w:rsidP="00C14D7E">
                      <w:pPr>
                        <w:rPr>
                          <w:rFonts w:ascii="Times New Roman" w:hAnsi="Times New Roman" w:cs="Times New Roman"/>
                          <w:sz w:val="20"/>
                          <w:szCs w:val="20"/>
                          <w:lang w:val="en-US"/>
                        </w:rPr>
                      </w:pPr>
                      <w:r w:rsidRPr="008A0C45">
                        <w:rPr>
                          <w:rFonts w:ascii="Times New Roman" w:hAnsi="Times New Roman" w:cs="Times New Roman"/>
                          <w:sz w:val="20"/>
                          <w:szCs w:val="20"/>
                          <w:lang w:val="en-US"/>
                        </w:rPr>
                        <w:t>Additional discussions are expected on the proposed compliance strategy, the Authority's Inspection Programme, and the Inspectors Code of Conduct. These discussions may result in consequential amendments to the draft Rules of Procedure of the Compliance Committee.</w:t>
                      </w:r>
                    </w:p>
                    <w:p w14:paraId="5013B042" w14:textId="77777777" w:rsidR="00876A1C" w:rsidRPr="008A0C45" w:rsidRDefault="00876A1C" w:rsidP="00C14D7E">
                      <w:pPr>
                        <w:rPr>
                          <w:rFonts w:ascii="Times New Roman" w:hAnsi="Times New Roman" w:cs="Times New Roman"/>
                          <w:sz w:val="20"/>
                          <w:szCs w:val="20"/>
                          <w:lang w:val="en-US"/>
                        </w:rPr>
                      </w:pPr>
                    </w:p>
                    <w:p w14:paraId="1E5DC472" w14:textId="77777777" w:rsidR="00876A1C" w:rsidRPr="00F65F6F" w:rsidRDefault="00876A1C" w:rsidP="00C14D7E">
                      <w:pPr>
                        <w:rPr>
                          <w:lang w:val="en-JM"/>
                        </w:rPr>
                      </w:pPr>
                    </w:p>
                  </w:txbxContent>
                </v:textbox>
                <w10:wrap type="square"/>
              </v:shape>
            </w:pict>
          </mc:Fallback>
        </mc:AlternateContent>
      </w:r>
    </w:p>
    <w:p w14:paraId="07A93014" w14:textId="77777777" w:rsidR="00876A1C" w:rsidRPr="006F6A60" w:rsidRDefault="00876A1C" w:rsidP="00C14D7E">
      <w:pPr>
        <w:rPr>
          <w:rFonts w:ascii="Times New Roman" w:hAnsi="Times New Roman" w:cs="Times New Roman"/>
          <w:i/>
          <w:iCs/>
          <w:sz w:val="20"/>
          <w:szCs w:val="20"/>
          <w:lang w:val="en-US"/>
        </w:rPr>
      </w:pPr>
    </w:p>
    <w:p w14:paraId="00A62478" w14:textId="77777777" w:rsidR="00876A1C" w:rsidRDefault="00876A1C" w:rsidP="00C14D7E">
      <w:pPr>
        <w:rPr>
          <w:rFonts w:ascii="Times New Roman" w:hAnsi="Times New Roman" w:cs="Times New Roman"/>
          <w:i/>
          <w:iCs/>
          <w:sz w:val="20"/>
          <w:szCs w:val="20"/>
          <w:lang w:val="en-US"/>
        </w:rPr>
      </w:pPr>
      <w:r w:rsidRPr="006F6A60">
        <w:rPr>
          <w:rFonts w:ascii="Times New Roman" w:hAnsi="Times New Roman" w:cs="Times New Roman"/>
          <w:i/>
          <w:iCs/>
          <w:sz w:val="20"/>
          <w:szCs w:val="20"/>
          <w:lang w:val="en-US"/>
        </w:rPr>
        <w:t>Purpose and Scope of the Rules of Procedure</w:t>
      </w:r>
    </w:p>
    <w:p w14:paraId="00D1C1BA" w14:textId="77777777" w:rsidR="00876A1C" w:rsidRPr="0082481F" w:rsidRDefault="00876A1C" w:rsidP="00C14D7E">
      <w:pPr>
        <w:jc w:val="center"/>
        <w:rPr>
          <w:rFonts w:ascii="Times New Roman" w:hAnsi="Times New Roman" w:cs="Times New Roman"/>
          <w:b/>
          <w:bCs/>
          <w:sz w:val="20"/>
          <w:szCs w:val="20"/>
          <w:lang w:val="en-US"/>
        </w:rPr>
      </w:pPr>
      <w:r w:rsidRPr="0082481F">
        <w:rPr>
          <w:rFonts w:ascii="Times New Roman" w:hAnsi="Times New Roman" w:cs="Times New Roman"/>
          <w:b/>
          <w:bCs/>
          <w:sz w:val="20"/>
          <w:szCs w:val="20"/>
          <w:lang w:val="en-US"/>
        </w:rPr>
        <w:t>Rule 1</w:t>
      </w:r>
    </w:p>
    <w:p w14:paraId="0A019D8B"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sidRPr="005C68FC">
        <w:rPr>
          <w:rFonts w:ascii="Times New Roman" w:hAnsi="Times New Roman" w:cs="Times New Roman"/>
          <w:sz w:val="20"/>
          <w:szCs w:val="20"/>
          <w:lang w:val="en-US"/>
        </w:rPr>
        <w:t>The purpose of these Rules of Procedure is to establish the framework for the effective functioning of the Compliance Committee (“the Committee”), These Rules apply to all activities, meetings, and decisions of the Committee.</w:t>
      </w:r>
    </w:p>
    <w:p w14:paraId="7B059978" w14:textId="77777777" w:rsidR="00876A1C" w:rsidRPr="00241078"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r>
      <w:r w:rsidRPr="00241078">
        <w:rPr>
          <w:rFonts w:ascii="Times New Roman" w:hAnsi="Times New Roman" w:cs="Times New Roman"/>
          <w:sz w:val="20"/>
          <w:szCs w:val="20"/>
          <w:lang w:val="en-US"/>
        </w:rPr>
        <w:t xml:space="preserve">The Committee is accountable to the Council, shall follow any directive of the Council, and shall report at least annually to the Council. </w:t>
      </w:r>
    </w:p>
    <w:p w14:paraId="20DD9C76" w14:textId="77777777" w:rsidR="00876A1C" w:rsidRPr="005C68FC" w:rsidRDefault="00876A1C" w:rsidP="00C14D7E">
      <w:pPr>
        <w:rPr>
          <w:rFonts w:ascii="Times New Roman" w:hAnsi="Times New Roman" w:cs="Times New Roman"/>
          <w:sz w:val="20"/>
          <w:szCs w:val="20"/>
          <w:lang w:val="en-US"/>
        </w:rPr>
      </w:pPr>
    </w:p>
    <w:p w14:paraId="70C80BCB" w14:textId="77777777" w:rsidR="00876A1C" w:rsidRDefault="00876A1C" w:rsidP="00C14D7E">
      <w:pPr>
        <w:rPr>
          <w:rFonts w:ascii="Times New Roman" w:hAnsi="Times New Roman" w:cs="Times New Roman"/>
          <w:i/>
          <w:iCs/>
          <w:sz w:val="20"/>
          <w:szCs w:val="20"/>
          <w:lang w:val="en-US"/>
        </w:rPr>
      </w:pPr>
      <w:r w:rsidRPr="00D17774">
        <w:rPr>
          <w:rFonts w:ascii="Times New Roman" w:hAnsi="Times New Roman" w:cs="Times New Roman"/>
          <w:i/>
          <w:iCs/>
          <w:sz w:val="20"/>
          <w:szCs w:val="20"/>
          <w:lang w:val="en-US"/>
        </w:rPr>
        <w:t xml:space="preserve">Decision making </w:t>
      </w:r>
    </w:p>
    <w:p w14:paraId="45795C0A" w14:textId="77777777" w:rsidR="00876A1C" w:rsidRPr="00D17774" w:rsidRDefault="00876A1C" w:rsidP="00C14D7E">
      <w:pPr>
        <w:jc w:val="center"/>
        <w:rPr>
          <w:rFonts w:ascii="Times New Roman" w:hAnsi="Times New Roman" w:cs="Times New Roman"/>
          <w:i/>
          <w:iCs/>
          <w:sz w:val="20"/>
          <w:szCs w:val="20"/>
          <w:lang w:val="en-US"/>
        </w:rPr>
      </w:pPr>
      <w:r w:rsidRPr="0082481F">
        <w:rPr>
          <w:rFonts w:ascii="Times New Roman" w:hAnsi="Times New Roman" w:cs="Times New Roman"/>
          <w:b/>
          <w:bCs/>
          <w:sz w:val="20"/>
          <w:szCs w:val="20"/>
          <w:lang w:val="en-US"/>
        </w:rPr>
        <w:t xml:space="preserve">Rule </w:t>
      </w:r>
      <w:r>
        <w:rPr>
          <w:rFonts w:ascii="Times New Roman" w:hAnsi="Times New Roman" w:cs="Times New Roman"/>
          <w:b/>
          <w:bCs/>
          <w:sz w:val="20"/>
          <w:szCs w:val="20"/>
          <w:lang w:val="en-US"/>
        </w:rPr>
        <w:t>2</w:t>
      </w:r>
    </w:p>
    <w:p w14:paraId="5BCCB7AF" w14:textId="77777777" w:rsidR="00876A1C" w:rsidRPr="005C68F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sidRPr="005C68FC">
        <w:rPr>
          <w:rFonts w:ascii="Times New Roman" w:hAnsi="Times New Roman" w:cs="Times New Roman"/>
          <w:sz w:val="20"/>
          <w:szCs w:val="20"/>
          <w:lang w:val="en-US"/>
        </w:rPr>
        <w:t xml:space="preserve">Decisions of the Committee shall be taken by consensus. If all efforts to achieve consensus have been exhausted, or time is of the essence, decisions may be taken by a majority of members present and voting. In the case of a tie, the Chair of the Committee shall have the decisive vote. </w:t>
      </w:r>
    </w:p>
    <w:p w14:paraId="57AF9C6C"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t>T</w:t>
      </w:r>
      <w:r w:rsidRPr="005C68FC">
        <w:rPr>
          <w:rFonts w:ascii="Times New Roman" w:hAnsi="Times New Roman" w:cs="Times New Roman"/>
          <w:sz w:val="20"/>
          <w:szCs w:val="20"/>
          <w:lang w:val="en-US"/>
        </w:rPr>
        <w:t xml:space="preserve">he Committee shall appoint its own chair and vice chair. Unless otherwise determined by the Committee, the Chair of the Commission, the Chief Inspector and a member of the Secretariat designated by the Secretary-General shall be invited to attend the meetings of the Committee but without the right to vote. </w:t>
      </w:r>
      <w:r>
        <w:rPr>
          <w:rFonts w:ascii="Times New Roman" w:hAnsi="Times New Roman" w:cs="Times New Roman"/>
          <w:sz w:val="20"/>
          <w:szCs w:val="20"/>
          <w:lang w:val="en-US"/>
        </w:rPr>
        <w:t>The silence procedure shall not be used for decision-making by the Committee</w:t>
      </w:r>
    </w:p>
    <w:p w14:paraId="0710D200" w14:textId="77777777" w:rsidR="00876A1C" w:rsidRDefault="00876A1C" w:rsidP="00C14D7E">
      <w:pPr>
        <w:rPr>
          <w:rFonts w:ascii="Times New Roman" w:hAnsi="Times New Roman" w:cs="Times New Roman"/>
          <w:sz w:val="20"/>
          <w:szCs w:val="20"/>
          <w:lang w:val="en-US"/>
        </w:rPr>
      </w:pPr>
    </w:p>
    <w:p w14:paraId="2B54F9A8" w14:textId="77777777" w:rsidR="00876A1C" w:rsidRPr="003B2728" w:rsidRDefault="00876A1C" w:rsidP="00C14D7E">
      <w:pPr>
        <w:rPr>
          <w:rFonts w:ascii="Times New Roman" w:hAnsi="Times New Roman" w:cs="Times New Roman"/>
          <w:i/>
          <w:iCs/>
          <w:sz w:val="20"/>
          <w:szCs w:val="20"/>
          <w:lang w:val="en-US"/>
        </w:rPr>
      </w:pPr>
      <w:r w:rsidRPr="003B2728">
        <w:rPr>
          <w:rFonts w:ascii="Times New Roman" w:hAnsi="Times New Roman" w:cs="Times New Roman"/>
          <w:i/>
          <w:iCs/>
          <w:sz w:val="20"/>
          <w:szCs w:val="20"/>
          <w:lang w:val="en-US"/>
        </w:rPr>
        <w:t xml:space="preserve">Constitution and holding of meetings </w:t>
      </w:r>
    </w:p>
    <w:p w14:paraId="75FA6996" w14:textId="77777777" w:rsidR="00876A1C" w:rsidRPr="0082481F" w:rsidRDefault="00876A1C" w:rsidP="00C14D7E">
      <w:pPr>
        <w:jc w:val="center"/>
        <w:rPr>
          <w:rFonts w:ascii="Times New Roman" w:hAnsi="Times New Roman" w:cs="Times New Roman"/>
          <w:b/>
          <w:bCs/>
          <w:sz w:val="20"/>
          <w:szCs w:val="20"/>
          <w:lang w:val="en-US"/>
        </w:rPr>
      </w:pPr>
      <w:r w:rsidRPr="0082481F">
        <w:rPr>
          <w:rFonts w:ascii="Times New Roman" w:hAnsi="Times New Roman" w:cs="Times New Roman"/>
          <w:b/>
          <w:bCs/>
          <w:sz w:val="20"/>
          <w:szCs w:val="20"/>
          <w:lang w:val="en-US"/>
        </w:rPr>
        <w:t xml:space="preserve">Rule </w:t>
      </w:r>
      <w:r>
        <w:rPr>
          <w:rFonts w:ascii="Times New Roman" w:hAnsi="Times New Roman" w:cs="Times New Roman"/>
          <w:b/>
          <w:bCs/>
          <w:sz w:val="20"/>
          <w:szCs w:val="20"/>
          <w:lang w:val="en-US"/>
        </w:rPr>
        <w:t>3</w:t>
      </w:r>
    </w:p>
    <w:p w14:paraId="22B18B3E"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t>The Committee shall appoint its own chair and vice chair of the Committee.</w:t>
      </w:r>
    </w:p>
    <w:p w14:paraId="103784CC"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t>The Secretary-General shall facilitate the meetings of the Committee.</w:t>
      </w:r>
    </w:p>
    <w:p w14:paraId="3CEE2D39"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3.</w:t>
      </w:r>
      <w:r>
        <w:rPr>
          <w:rFonts w:ascii="Times New Roman" w:hAnsi="Times New Roman" w:cs="Times New Roman"/>
          <w:sz w:val="20"/>
          <w:szCs w:val="20"/>
          <w:lang w:val="en-US"/>
        </w:rPr>
        <w:tab/>
      </w:r>
      <w:r w:rsidRPr="00320665">
        <w:rPr>
          <w:rFonts w:ascii="Times New Roman" w:hAnsi="Times New Roman" w:cs="Times New Roman"/>
          <w:sz w:val="20"/>
          <w:szCs w:val="20"/>
          <w:lang w:val="en-US"/>
        </w:rPr>
        <w:t xml:space="preserve">The Committee shall meet at regular intervals preferably using virtual means, and in urgent cases involving possible instances of non-compliance, shall convene virtually and on short notice. </w:t>
      </w:r>
    </w:p>
    <w:p w14:paraId="1849B681"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4.</w:t>
      </w:r>
      <w:r>
        <w:rPr>
          <w:rFonts w:ascii="Times New Roman" w:hAnsi="Times New Roman" w:cs="Times New Roman"/>
          <w:sz w:val="20"/>
          <w:szCs w:val="20"/>
          <w:lang w:val="en-US"/>
        </w:rPr>
        <w:tab/>
      </w:r>
      <w:r w:rsidRPr="00320665">
        <w:rPr>
          <w:rFonts w:ascii="Times New Roman" w:hAnsi="Times New Roman" w:cs="Times New Roman"/>
          <w:sz w:val="20"/>
          <w:szCs w:val="20"/>
          <w:lang w:val="en-US"/>
        </w:rPr>
        <w:t xml:space="preserve">Members of the Committee shall rotate among themselves on a monthly basis in order to ensure that </w:t>
      </w:r>
      <w:r>
        <w:rPr>
          <w:rFonts w:ascii="Times New Roman" w:hAnsi="Times New Roman" w:cs="Times New Roman"/>
          <w:sz w:val="20"/>
          <w:szCs w:val="20"/>
          <w:lang w:val="en-US"/>
        </w:rPr>
        <w:t>two</w:t>
      </w:r>
      <w:r w:rsidRPr="00320665">
        <w:rPr>
          <w:rFonts w:ascii="Times New Roman" w:hAnsi="Times New Roman" w:cs="Times New Roman"/>
          <w:sz w:val="20"/>
          <w:szCs w:val="20"/>
          <w:lang w:val="en-US"/>
        </w:rPr>
        <w:t xml:space="preserve"> member</w:t>
      </w:r>
      <w:r>
        <w:rPr>
          <w:rFonts w:ascii="Times New Roman" w:hAnsi="Times New Roman" w:cs="Times New Roman"/>
          <w:sz w:val="20"/>
          <w:szCs w:val="20"/>
          <w:lang w:val="en-US"/>
        </w:rPr>
        <w:t>s</w:t>
      </w:r>
      <w:r w:rsidRPr="00320665">
        <w:rPr>
          <w:rFonts w:ascii="Times New Roman" w:hAnsi="Times New Roman" w:cs="Times New Roman"/>
          <w:sz w:val="20"/>
          <w:szCs w:val="20"/>
          <w:lang w:val="en-US"/>
        </w:rPr>
        <w:t xml:space="preserve"> </w:t>
      </w:r>
      <w:r>
        <w:rPr>
          <w:rFonts w:ascii="Times New Roman" w:hAnsi="Times New Roman" w:cs="Times New Roman"/>
          <w:sz w:val="20"/>
          <w:szCs w:val="20"/>
          <w:lang w:val="en-US"/>
        </w:rPr>
        <w:t>are</w:t>
      </w:r>
      <w:r w:rsidRPr="00320665">
        <w:rPr>
          <w:rFonts w:ascii="Times New Roman" w:hAnsi="Times New Roman" w:cs="Times New Roman"/>
          <w:sz w:val="20"/>
          <w:szCs w:val="20"/>
          <w:lang w:val="en-US"/>
        </w:rPr>
        <w:t xml:space="preserve"> always available “on call” in cases of non-compliance that require urgent action. </w:t>
      </w:r>
    </w:p>
    <w:p w14:paraId="5EEB41B0" w14:textId="77777777" w:rsidR="00876A1C" w:rsidRPr="005C68FC" w:rsidRDefault="00876A1C" w:rsidP="00C14D7E">
      <w:pPr>
        <w:rPr>
          <w:rFonts w:ascii="Times New Roman" w:hAnsi="Times New Roman" w:cs="Times New Roman"/>
          <w:b/>
          <w:bCs/>
          <w:sz w:val="20"/>
          <w:szCs w:val="20"/>
          <w:lang w:val="en-US"/>
        </w:rPr>
      </w:pPr>
    </w:p>
    <w:p w14:paraId="0243DA14" w14:textId="77777777" w:rsidR="00876A1C" w:rsidRPr="007F23CC" w:rsidRDefault="00876A1C" w:rsidP="00C14D7E">
      <w:pPr>
        <w:rPr>
          <w:rFonts w:ascii="Times New Roman" w:hAnsi="Times New Roman" w:cs="Times New Roman"/>
          <w:i/>
          <w:iCs/>
          <w:sz w:val="20"/>
          <w:szCs w:val="20"/>
          <w:lang w:val="en-US"/>
        </w:rPr>
      </w:pPr>
      <w:r w:rsidRPr="007F23CC">
        <w:rPr>
          <w:rFonts w:ascii="Times New Roman" w:hAnsi="Times New Roman" w:cs="Times New Roman"/>
          <w:i/>
          <w:iCs/>
          <w:sz w:val="20"/>
          <w:szCs w:val="20"/>
          <w:lang w:val="en-US"/>
        </w:rPr>
        <w:t xml:space="preserve">Independence of the members of the Committee </w:t>
      </w:r>
    </w:p>
    <w:p w14:paraId="0011DC47" w14:textId="77777777" w:rsidR="00876A1C" w:rsidRPr="0082481F" w:rsidRDefault="00876A1C" w:rsidP="00C14D7E">
      <w:pPr>
        <w:jc w:val="center"/>
        <w:rPr>
          <w:rFonts w:ascii="Times New Roman" w:hAnsi="Times New Roman" w:cs="Times New Roman"/>
          <w:b/>
          <w:bCs/>
          <w:sz w:val="20"/>
          <w:szCs w:val="20"/>
          <w:lang w:val="en-US"/>
        </w:rPr>
      </w:pPr>
      <w:r w:rsidRPr="0082481F">
        <w:rPr>
          <w:rFonts w:ascii="Times New Roman" w:hAnsi="Times New Roman" w:cs="Times New Roman"/>
          <w:b/>
          <w:bCs/>
          <w:sz w:val="20"/>
          <w:szCs w:val="20"/>
          <w:lang w:val="en-US"/>
        </w:rPr>
        <w:t xml:space="preserve">Rule </w:t>
      </w:r>
      <w:r>
        <w:rPr>
          <w:rFonts w:ascii="Times New Roman" w:hAnsi="Times New Roman" w:cs="Times New Roman"/>
          <w:b/>
          <w:bCs/>
          <w:sz w:val="20"/>
          <w:szCs w:val="20"/>
          <w:lang w:val="en-US"/>
        </w:rPr>
        <w:t>4</w:t>
      </w:r>
    </w:p>
    <w:p w14:paraId="483C4D50"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sidRPr="005C68FC">
        <w:rPr>
          <w:rFonts w:ascii="Times New Roman" w:hAnsi="Times New Roman" w:cs="Times New Roman"/>
          <w:sz w:val="20"/>
          <w:szCs w:val="20"/>
          <w:lang w:val="en-US"/>
        </w:rPr>
        <w:t xml:space="preserve">Members of the Committee shall serve in an independent and personal capacity, and shall not serve in any other organs of the Authority. </w:t>
      </w:r>
    </w:p>
    <w:p w14:paraId="4C6EC568"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r>
      <w:r w:rsidRPr="00DE5BEF">
        <w:rPr>
          <w:rFonts w:ascii="Times New Roman" w:hAnsi="Times New Roman" w:cs="Times New Roman"/>
          <w:sz w:val="20"/>
          <w:szCs w:val="20"/>
          <w:lang w:val="en-US"/>
        </w:rPr>
        <w:t>Subject to a general presumption of public access to information, Committee members shall not disclose, even after the termination of their functions, any industrial secret, proprietary data which are transferred to the Authority in accordance with the Convention, Annex III, article 14, or any other Confidential Information coming to their knowledge by reason of their duties for the Authority.</w:t>
      </w:r>
    </w:p>
    <w:p w14:paraId="5097FD66" w14:textId="77777777" w:rsidR="00876A1C" w:rsidRPr="00241078"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3.</w:t>
      </w:r>
      <w:r>
        <w:rPr>
          <w:rFonts w:ascii="Times New Roman" w:hAnsi="Times New Roman" w:cs="Times New Roman"/>
          <w:sz w:val="20"/>
          <w:szCs w:val="20"/>
          <w:lang w:val="en-US"/>
        </w:rPr>
        <w:tab/>
      </w:r>
      <w:r w:rsidRPr="00241078">
        <w:rPr>
          <w:rFonts w:ascii="Times New Roman" w:hAnsi="Times New Roman" w:cs="Times New Roman"/>
          <w:sz w:val="20"/>
          <w:szCs w:val="20"/>
          <w:lang w:val="en-US"/>
        </w:rPr>
        <w:t>In performing any of its functions, the Committee shall apply the principles of independence, transparency, accountability, expertise, proportionality and probity, and act consistently with the Convention and the rules, regulations and procedures of the Authority.</w:t>
      </w:r>
    </w:p>
    <w:p w14:paraId="71E10AFE" w14:textId="77777777" w:rsidR="00876A1C" w:rsidRDefault="00876A1C" w:rsidP="00C14D7E">
      <w:pPr>
        <w:rPr>
          <w:rFonts w:ascii="Times New Roman" w:hAnsi="Times New Roman" w:cs="Times New Roman"/>
          <w:sz w:val="20"/>
          <w:szCs w:val="20"/>
          <w:lang w:val="en-GB"/>
        </w:rPr>
      </w:pPr>
      <w:r>
        <w:rPr>
          <w:rFonts w:ascii="Times New Roman" w:hAnsi="Times New Roman" w:cs="Times New Roman"/>
          <w:sz w:val="20"/>
          <w:szCs w:val="20"/>
          <w:lang w:val="en-GB"/>
        </w:rPr>
        <w:t>4.</w:t>
      </w:r>
      <w:r>
        <w:rPr>
          <w:rFonts w:ascii="Times New Roman" w:hAnsi="Times New Roman" w:cs="Times New Roman"/>
          <w:sz w:val="20"/>
          <w:szCs w:val="20"/>
          <w:lang w:val="en-GB"/>
        </w:rPr>
        <w:tab/>
      </w:r>
      <w:r w:rsidRPr="00DE5BEF">
        <w:rPr>
          <w:rFonts w:ascii="Times New Roman" w:hAnsi="Times New Roman" w:cs="Times New Roman"/>
          <w:sz w:val="20"/>
          <w:szCs w:val="20"/>
          <w:lang w:val="en-GB"/>
        </w:rPr>
        <w:t xml:space="preserve">In the performance of its duties the Committee and its members shall not seek or receive instructions from any individual government or any other source external to the Council. </w:t>
      </w:r>
    </w:p>
    <w:p w14:paraId="616FA36A" w14:textId="77777777" w:rsidR="00876A1C" w:rsidRPr="00DE5BEF" w:rsidRDefault="00876A1C" w:rsidP="00C14D7E">
      <w:pPr>
        <w:rPr>
          <w:rFonts w:ascii="Times New Roman" w:hAnsi="Times New Roman" w:cs="Times New Roman"/>
          <w:sz w:val="20"/>
          <w:szCs w:val="20"/>
          <w:lang w:val="en-GB"/>
        </w:rPr>
      </w:pPr>
    </w:p>
    <w:p w14:paraId="12DCFE24" w14:textId="77777777" w:rsidR="00876A1C" w:rsidRPr="00FB19A2" w:rsidRDefault="00876A1C" w:rsidP="00C14D7E">
      <w:pPr>
        <w:rPr>
          <w:rFonts w:ascii="Times New Roman" w:hAnsi="Times New Roman" w:cs="Times New Roman"/>
          <w:i/>
          <w:iCs/>
          <w:sz w:val="20"/>
          <w:szCs w:val="20"/>
          <w:lang w:val="en-US"/>
        </w:rPr>
      </w:pPr>
      <w:r w:rsidRPr="00FB19A2">
        <w:rPr>
          <w:rFonts w:ascii="Times New Roman" w:hAnsi="Times New Roman" w:cs="Times New Roman"/>
          <w:i/>
          <w:iCs/>
          <w:sz w:val="20"/>
          <w:szCs w:val="20"/>
          <w:lang w:val="en-US"/>
        </w:rPr>
        <w:t xml:space="preserve">Conflict of Interest and Declarations of Independence </w:t>
      </w:r>
    </w:p>
    <w:p w14:paraId="430E5C62" w14:textId="77777777" w:rsidR="00876A1C" w:rsidRDefault="00876A1C" w:rsidP="00C14D7E">
      <w:pPr>
        <w:rPr>
          <w:rFonts w:ascii="Times New Roman" w:hAnsi="Times New Roman" w:cs="Times New Roman"/>
          <w:sz w:val="20"/>
          <w:szCs w:val="20"/>
          <w:lang w:val="en-US"/>
        </w:rPr>
      </w:pPr>
    </w:p>
    <w:p w14:paraId="18FAE303" w14:textId="77777777" w:rsidR="00876A1C" w:rsidRPr="0082481F" w:rsidRDefault="00876A1C" w:rsidP="00C14D7E">
      <w:pPr>
        <w:jc w:val="center"/>
        <w:rPr>
          <w:rFonts w:ascii="Times New Roman" w:hAnsi="Times New Roman" w:cs="Times New Roman"/>
          <w:b/>
          <w:bCs/>
          <w:sz w:val="20"/>
          <w:szCs w:val="20"/>
          <w:lang w:val="en-US"/>
        </w:rPr>
      </w:pPr>
      <w:r w:rsidRPr="0082481F">
        <w:rPr>
          <w:rFonts w:ascii="Times New Roman" w:hAnsi="Times New Roman" w:cs="Times New Roman"/>
          <w:b/>
          <w:bCs/>
          <w:sz w:val="20"/>
          <w:szCs w:val="20"/>
          <w:lang w:val="en-US"/>
        </w:rPr>
        <w:lastRenderedPageBreak/>
        <w:t xml:space="preserve">Rule </w:t>
      </w:r>
      <w:r>
        <w:rPr>
          <w:rFonts w:ascii="Times New Roman" w:hAnsi="Times New Roman" w:cs="Times New Roman"/>
          <w:b/>
          <w:bCs/>
          <w:sz w:val="20"/>
          <w:szCs w:val="20"/>
          <w:lang w:val="en-US"/>
        </w:rPr>
        <w:t>5</w:t>
      </w:r>
    </w:p>
    <w:p w14:paraId="6BE3A189"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sidRPr="005C68FC">
        <w:rPr>
          <w:rFonts w:ascii="Times New Roman" w:hAnsi="Times New Roman" w:cs="Times New Roman"/>
          <w:sz w:val="20"/>
          <w:szCs w:val="20"/>
          <w:lang w:val="en-US"/>
        </w:rPr>
        <w:t>No member of the Committee shall have any conflict of interest, whether direct or indirect, including but not limited to financial, personal, or professional interests, that could improperly influence or be perceived to influence the performance of their duties. Each member shall, upon appointment and annually thereafter, provide a written declaration affirming their independence and disclosing any actual or potential conflicts of interest. Members shall promptly update their declarations if any relevant circumstances arise during their term. Any member found to have a conflict of interest shall recuse themselves from the relevant proceedings or matters, and the Committee shall take appropriate steps to address the situation in accordance with these Rules of Procedure.</w:t>
      </w:r>
    </w:p>
    <w:p w14:paraId="16B8EE7F" w14:textId="77777777" w:rsidR="00876A1C" w:rsidRPr="00DE5BEF"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r>
      <w:r w:rsidRPr="00DE5BEF">
        <w:rPr>
          <w:rFonts w:ascii="Times New Roman" w:hAnsi="Times New Roman" w:cs="Times New Roman"/>
          <w:sz w:val="20"/>
          <w:szCs w:val="20"/>
          <w:lang w:val="en-US"/>
        </w:rPr>
        <w:t>Any member of the Committee with a potential conflict of interest in any matter that comes before the Committee, shall as soon as possible declare that conflict of interest to the rest of the Committee, and shall recuse themselves from any discussion relating to that matter. That declaration and recusal shall be included in the report to the Council.</w:t>
      </w:r>
    </w:p>
    <w:p w14:paraId="4FA23D00" w14:textId="77777777" w:rsidR="00876A1C" w:rsidRDefault="00876A1C" w:rsidP="00C14D7E">
      <w:pPr>
        <w:rPr>
          <w:rFonts w:ascii="Times New Roman" w:hAnsi="Times New Roman" w:cs="Times New Roman"/>
          <w:b/>
          <w:sz w:val="20"/>
          <w:szCs w:val="20"/>
          <w:lang w:val="en-US"/>
        </w:rPr>
      </w:pPr>
    </w:p>
    <w:p w14:paraId="1E0B120D" w14:textId="77777777" w:rsidR="00876A1C" w:rsidRDefault="00876A1C" w:rsidP="00C14D7E">
      <w:pPr>
        <w:rPr>
          <w:rFonts w:ascii="Times New Roman" w:hAnsi="Times New Roman" w:cs="Times New Roman"/>
          <w:bCs/>
          <w:i/>
          <w:iCs/>
          <w:sz w:val="20"/>
          <w:szCs w:val="20"/>
          <w:lang w:val="en-US"/>
        </w:rPr>
      </w:pPr>
      <w:r w:rsidRPr="00FB19A2">
        <w:rPr>
          <w:rFonts w:ascii="Times New Roman" w:hAnsi="Times New Roman" w:cs="Times New Roman"/>
          <w:bCs/>
          <w:i/>
          <w:iCs/>
          <w:sz w:val="20"/>
          <w:szCs w:val="20"/>
          <w:lang w:val="en-US"/>
        </w:rPr>
        <w:t xml:space="preserve">Interim measures and emergency orders </w:t>
      </w:r>
    </w:p>
    <w:p w14:paraId="29C04987" w14:textId="77777777" w:rsidR="00876A1C" w:rsidRPr="0082481F" w:rsidRDefault="00876A1C" w:rsidP="00C14D7E">
      <w:pPr>
        <w:jc w:val="center"/>
        <w:rPr>
          <w:rFonts w:ascii="Times New Roman" w:hAnsi="Times New Roman" w:cs="Times New Roman"/>
          <w:b/>
          <w:bCs/>
          <w:sz w:val="20"/>
          <w:szCs w:val="20"/>
          <w:lang w:val="en-US"/>
        </w:rPr>
      </w:pPr>
      <w:r w:rsidRPr="0082481F">
        <w:rPr>
          <w:rFonts w:ascii="Times New Roman" w:hAnsi="Times New Roman" w:cs="Times New Roman"/>
          <w:b/>
          <w:bCs/>
          <w:sz w:val="20"/>
          <w:szCs w:val="20"/>
          <w:lang w:val="en-US"/>
        </w:rPr>
        <w:t xml:space="preserve">Rule </w:t>
      </w:r>
      <w:r>
        <w:rPr>
          <w:rFonts w:ascii="Times New Roman" w:hAnsi="Times New Roman" w:cs="Times New Roman"/>
          <w:b/>
          <w:bCs/>
          <w:sz w:val="20"/>
          <w:szCs w:val="20"/>
          <w:lang w:val="en-US"/>
        </w:rPr>
        <w:t>6</w:t>
      </w:r>
    </w:p>
    <w:p w14:paraId="50D17A7D" w14:textId="77777777" w:rsidR="00876A1C" w:rsidRPr="005C68F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sidRPr="005C68FC">
        <w:rPr>
          <w:rFonts w:ascii="Times New Roman" w:hAnsi="Times New Roman" w:cs="Times New Roman"/>
          <w:sz w:val="20"/>
          <w:szCs w:val="20"/>
          <w:lang w:val="en-US"/>
        </w:rPr>
        <w:t xml:space="preserve">The Council shall review and ratify any interim measures imposed by the Committee, and consider any of its recommendations as soon as practicable or at its next meeting. </w:t>
      </w:r>
    </w:p>
    <w:p w14:paraId="0F54DAF7" w14:textId="77777777" w:rsidR="00876A1C" w:rsidRPr="005C68F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r>
      <w:r w:rsidRPr="005C68FC">
        <w:rPr>
          <w:rFonts w:ascii="Times New Roman" w:hAnsi="Times New Roman" w:cs="Times New Roman"/>
          <w:sz w:val="20"/>
          <w:szCs w:val="20"/>
          <w:lang w:val="en-US"/>
        </w:rPr>
        <w:t xml:space="preserve">A member of the Bureau of the Council shall be on-call and shall convene a virtual meeting of the Council in the case of matters for urgent consideration, including the issue of emergency orders by the Council. </w:t>
      </w:r>
    </w:p>
    <w:p w14:paraId="4560E922" w14:textId="77777777" w:rsidR="00876A1C" w:rsidRPr="005C68FC" w:rsidRDefault="00876A1C" w:rsidP="00C14D7E">
      <w:pPr>
        <w:rPr>
          <w:rFonts w:ascii="Times New Roman" w:hAnsi="Times New Roman" w:cs="Times New Roman"/>
          <w:sz w:val="20"/>
          <w:szCs w:val="20"/>
          <w:lang w:val="en-US"/>
        </w:rPr>
      </w:pPr>
      <w:r w:rsidRPr="005C68FC">
        <w:rPr>
          <w:rFonts w:ascii="Times New Roman" w:hAnsi="Times New Roman" w:cs="Times New Roman"/>
          <w:noProof/>
          <w:sz w:val="20"/>
          <w:szCs w:val="20"/>
          <w:highlight w:val="yellow"/>
          <w:lang w:val="en-US"/>
        </w:rPr>
        <mc:AlternateContent>
          <mc:Choice Requires="wps">
            <w:drawing>
              <wp:anchor distT="45720" distB="45720" distL="114300" distR="114300" simplePos="0" relativeHeight="251660288" behindDoc="0" locked="0" layoutInCell="1" allowOverlap="1" wp14:anchorId="71A887A0" wp14:editId="6967F2AB">
                <wp:simplePos x="0" y="0"/>
                <wp:positionH relativeFrom="margin">
                  <wp:posOffset>-38100</wp:posOffset>
                </wp:positionH>
                <wp:positionV relativeFrom="paragraph">
                  <wp:posOffset>269875</wp:posOffset>
                </wp:positionV>
                <wp:extent cx="6100445" cy="2319655"/>
                <wp:effectExtent l="0" t="0" r="14605" b="23495"/>
                <wp:wrapSquare wrapText="bothSides"/>
                <wp:docPr id="75804105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319655"/>
                        </a:xfrm>
                        <a:prstGeom prst="rect">
                          <a:avLst/>
                        </a:prstGeom>
                        <a:solidFill>
                          <a:srgbClr val="FFFFFF"/>
                        </a:solidFill>
                        <a:ln w="9525">
                          <a:solidFill>
                            <a:srgbClr val="000000"/>
                          </a:solidFill>
                          <a:miter lim="800000"/>
                          <a:headEnd/>
                          <a:tailEnd/>
                        </a:ln>
                      </wps:spPr>
                      <wps:txbx>
                        <w:txbxContent>
                          <w:p w14:paraId="0E46158B" w14:textId="6776E072" w:rsidR="00876A1C" w:rsidRPr="00F77C18" w:rsidRDefault="00876A1C" w:rsidP="00C14D7E">
                            <w:pPr>
                              <w:rPr>
                                <w:rFonts w:ascii="Times New Roman" w:hAnsi="Times New Roman" w:cs="Times New Roman"/>
                                <w:sz w:val="20"/>
                                <w:szCs w:val="20"/>
                                <w:lang w:val="en-US"/>
                              </w:rPr>
                            </w:pPr>
                            <w:r w:rsidRPr="00F77C18">
                              <w:rPr>
                                <w:rFonts w:ascii="Times New Roman" w:hAnsi="Times New Roman" w:cs="Times New Roman"/>
                                <w:sz w:val="20"/>
                                <w:szCs w:val="20"/>
                                <w:lang w:val="en-US"/>
                              </w:rPr>
                              <w:t>Comment</w:t>
                            </w:r>
                            <w:r w:rsidR="00871FB7">
                              <w:rPr>
                                <w:rFonts w:ascii="Times New Roman" w:hAnsi="Times New Roman" w:cs="Times New Roman"/>
                                <w:sz w:val="20"/>
                                <w:szCs w:val="20"/>
                                <w:lang w:val="en-US"/>
                              </w:rPr>
                              <w:t>s</w:t>
                            </w:r>
                            <w:r w:rsidRPr="00F77C18">
                              <w:rPr>
                                <w:rFonts w:ascii="Times New Roman" w:hAnsi="Times New Roman" w:cs="Times New Roman"/>
                                <w:sz w:val="20"/>
                                <w:szCs w:val="20"/>
                                <w:lang w:val="en-US"/>
                              </w:rPr>
                              <w:t xml:space="preserve">: </w:t>
                            </w:r>
                          </w:p>
                          <w:p w14:paraId="31B53DF4" w14:textId="77777777" w:rsidR="00876A1C" w:rsidRPr="00F77C18" w:rsidRDefault="00876A1C" w:rsidP="00C14D7E">
                            <w:pPr>
                              <w:numPr>
                                <w:ilvl w:val="0"/>
                                <w:numId w:val="11"/>
                              </w:numPr>
                              <w:rPr>
                                <w:rFonts w:ascii="Times New Roman" w:hAnsi="Times New Roman" w:cs="Times New Roman"/>
                                <w:sz w:val="20"/>
                                <w:szCs w:val="20"/>
                                <w:lang w:val="en-US"/>
                              </w:rPr>
                            </w:pPr>
                            <w:r w:rsidRPr="003754F7">
                              <w:rPr>
                                <w:rFonts w:ascii="Times New Roman" w:hAnsi="Times New Roman" w:cs="Times New Roman"/>
                                <w:sz w:val="20"/>
                                <w:szCs w:val="20"/>
                                <w:lang w:val="en-US"/>
                              </w:rPr>
                              <w:t>Following</w:t>
                            </w:r>
                            <w:r w:rsidRPr="00F77C18">
                              <w:rPr>
                                <w:rFonts w:ascii="Times New Roman" w:hAnsi="Times New Roman" w:cs="Times New Roman"/>
                                <w:sz w:val="20"/>
                                <w:szCs w:val="20"/>
                                <w:lang w:val="en-US"/>
                              </w:rPr>
                              <w:t xml:space="preserve"> a participant's suggestion during the Group meeting in July 2025, this provision has been reintroduced from draft regulation 102(9) in the revised consolidated text. It is proposed that this content be transferred to the draft Rules of Procedure.</w:t>
                            </w:r>
                          </w:p>
                          <w:p w14:paraId="111685EC" w14:textId="77777777" w:rsidR="00876A1C" w:rsidRPr="003754F7" w:rsidRDefault="00876A1C" w:rsidP="00C14D7E">
                            <w:pPr>
                              <w:numPr>
                                <w:ilvl w:val="0"/>
                                <w:numId w:val="11"/>
                              </w:numPr>
                              <w:rPr>
                                <w:rFonts w:ascii="Times New Roman" w:hAnsi="Times New Roman" w:cs="Times New Roman"/>
                                <w:sz w:val="20"/>
                                <w:szCs w:val="20"/>
                                <w:lang w:val="en-US"/>
                              </w:rPr>
                            </w:pPr>
                            <w:r w:rsidRPr="000B5A98">
                              <w:rPr>
                                <w:rFonts w:ascii="Times New Roman" w:hAnsi="Times New Roman" w:cs="Times New Roman"/>
                                <w:sz w:val="20"/>
                                <w:szCs w:val="20"/>
                                <w:lang w:val="en-US"/>
                              </w:rPr>
                              <w:t>This s</w:t>
                            </w:r>
                            <w:r>
                              <w:rPr>
                                <w:rFonts w:ascii="Times New Roman" w:hAnsi="Times New Roman" w:cs="Times New Roman"/>
                                <w:sz w:val="20"/>
                                <w:szCs w:val="20"/>
                                <w:lang w:val="en-US"/>
                              </w:rPr>
                              <w:t>ection</w:t>
                            </w:r>
                            <w:r w:rsidRPr="000B5A98">
                              <w:rPr>
                                <w:rFonts w:ascii="Times New Roman" w:hAnsi="Times New Roman" w:cs="Times New Roman"/>
                                <w:sz w:val="20"/>
                                <w:szCs w:val="20"/>
                                <w:lang w:val="en-US"/>
                              </w:rPr>
                              <w:t xml:space="preserve"> may require further consideration in light of the further development of the Rules of Procedure. </w:t>
                            </w:r>
                            <w:r w:rsidRPr="003754F7">
                              <w:rPr>
                                <w:rFonts w:ascii="Times New Roman" w:hAnsi="Times New Roman" w:cs="Times New Roman"/>
                                <w:sz w:val="20"/>
                                <w:szCs w:val="20"/>
                                <w:lang w:val="en-US"/>
                              </w:rPr>
                              <w:t>Rule 13 provides for special sessions to be convened to consider emergency matters under Article 162, paragraph 2(w), of the Convention.</w:t>
                            </w:r>
                          </w:p>
                          <w:p w14:paraId="281C5EC4" w14:textId="77777777" w:rsidR="00876A1C" w:rsidRPr="003754F7" w:rsidRDefault="00876A1C" w:rsidP="00C14D7E">
                            <w:pPr>
                              <w:numPr>
                                <w:ilvl w:val="0"/>
                                <w:numId w:val="11"/>
                              </w:numPr>
                              <w:rPr>
                                <w:rFonts w:ascii="Times New Roman" w:hAnsi="Times New Roman" w:cs="Times New Roman"/>
                                <w:sz w:val="20"/>
                                <w:szCs w:val="20"/>
                                <w:lang w:val="en-US"/>
                              </w:rPr>
                            </w:pPr>
                            <w:r w:rsidRPr="003754F7">
                              <w:rPr>
                                <w:rFonts w:ascii="Times New Roman" w:hAnsi="Times New Roman" w:cs="Times New Roman"/>
                                <w:sz w:val="20"/>
                                <w:szCs w:val="20"/>
                                <w:lang w:val="en-US"/>
                              </w:rPr>
                              <w:t>Consideration should be given to whether virtual meetings will be public or private. Rule 39 of the Council's Rules of Procedure contemplates private meetings only.</w:t>
                            </w:r>
                          </w:p>
                          <w:p w14:paraId="636C493C" w14:textId="77777777" w:rsidR="00876A1C" w:rsidRPr="003754F7" w:rsidRDefault="00876A1C" w:rsidP="00C14D7E">
                            <w:pPr>
                              <w:numPr>
                                <w:ilvl w:val="0"/>
                                <w:numId w:val="11"/>
                              </w:numPr>
                              <w:rPr>
                                <w:rFonts w:ascii="Times New Roman" w:hAnsi="Times New Roman" w:cs="Times New Roman"/>
                                <w:sz w:val="20"/>
                                <w:szCs w:val="20"/>
                                <w:lang w:val="en-US"/>
                              </w:rPr>
                            </w:pPr>
                            <w:r w:rsidRPr="003754F7">
                              <w:rPr>
                                <w:rFonts w:ascii="Times New Roman" w:hAnsi="Times New Roman" w:cs="Times New Roman"/>
                                <w:sz w:val="20"/>
                                <w:szCs w:val="20"/>
                                <w:lang w:val="en-US"/>
                              </w:rPr>
                              <w:t>This section requires further consideration once negotiations on draft regulation 103 are more advanced.</w:t>
                            </w:r>
                          </w:p>
                          <w:p w14:paraId="4C42804D" w14:textId="77777777" w:rsidR="00876A1C" w:rsidRPr="00F77C18" w:rsidRDefault="00876A1C" w:rsidP="00C14D7E">
                            <w:pPr>
                              <w:rPr>
                                <w:rFonts w:ascii="Times New Roman" w:hAnsi="Times New Roman" w:cs="Times New Roman"/>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887A0" id="_x0000_s1027" type="#_x0000_t202" style="position:absolute;margin-left:-3pt;margin-top:21.25pt;width:480.35pt;height:182.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">
                <v:textbox>
                  <w:txbxContent>
                    <w:p w14:paraId="0E46158B" w14:textId="6776E072" w:rsidR="00876A1C" w:rsidRPr="00F77C18" w:rsidRDefault="00876A1C" w:rsidP="00C14D7E">
                      <w:pPr>
                        <w:rPr>
                          <w:rFonts w:ascii="Times New Roman" w:hAnsi="Times New Roman" w:cs="Times New Roman"/>
                          <w:sz w:val="20"/>
                          <w:szCs w:val="20"/>
                          <w:lang w:val="en-US"/>
                        </w:rPr>
                      </w:pPr>
                      <w:r w:rsidRPr="00F77C18">
                        <w:rPr>
                          <w:rFonts w:ascii="Times New Roman" w:hAnsi="Times New Roman" w:cs="Times New Roman"/>
                          <w:sz w:val="20"/>
                          <w:szCs w:val="20"/>
                          <w:lang w:val="en-US"/>
                        </w:rPr>
                        <w:t>Comment</w:t>
                      </w:r>
                      <w:r w:rsidR="00871FB7">
                        <w:rPr>
                          <w:rFonts w:ascii="Times New Roman" w:hAnsi="Times New Roman" w:cs="Times New Roman"/>
                          <w:sz w:val="20"/>
                          <w:szCs w:val="20"/>
                          <w:lang w:val="en-US"/>
                        </w:rPr>
                        <w:t>s</w:t>
                      </w:r>
                      <w:r w:rsidRPr="00F77C18">
                        <w:rPr>
                          <w:rFonts w:ascii="Times New Roman" w:hAnsi="Times New Roman" w:cs="Times New Roman"/>
                          <w:sz w:val="20"/>
                          <w:szCs w:val="20"/>
                          <w:lang w:val="en-US"/>
                        </w:rPr>
                        <w:t xml:space="preserve">: </w:t>
                      </w:r>
                    </w:p>
                    <w:p w14:paraId="31B53DF4" w14:textId="77777777" w:rsidR="00876A1C" w:rsidRPr="00F77C18" w:rsidRDefault="00876A1C" w:rsidP="00C14D7E">
                      <w:pPr>
                        <w:numPr>
                          <w:ilvl w:val="0"/>
                          <w:numId w:val="11"/>
                        </w:numPr>
                        <w:rPr>
                          <w:rFonts w:ascii="Times New Roman" w:hAnsi="Times New Roman" w:cs="Times New Roman"/>
                          <w:sz w:val="20"/>
                          <w:szCs w:val="20"/>
                          <w:lang w:val="en-US"/>
                        </w:rPr>
                      </w:pPr>
                      <w:r w:rsidRPr="003754F7">
                        <w:rPr>
                          <w:rFonts w:ascii="Times New Roman" w:hAnsi="Times New Roman" w:cs="Times New Roman"/>
                          <w:sz w:val="20"/>
                          <w:szCs w:val="20"/>
                          <w:lang w:val="en-US"/>
                        </w:rPr>
                        <w:t>Following</w:t>
                      </w:r>
                      <w:r w:rsidRPr="00F77C18">
                        <w:rPr>
                          <w:rFonts w:ascii="Times New Roman" w:hAnsi="Times New Roman" w:cs="Times New Roman"/>
                          <w:sz w:val="20"/>
                          <w:szCs w:val="20"/>
                          <w:lang w:val="en-US"/>
                        </w:rPr>
                        <w:t xml:space="preserve"> a participant's suggestion during the Group meeting in July 2025, this provision has been reintroduced from draft regulation 102(9) in the revised consolidated text. It is proposed that this content be transferred to the draft Rules of Procedure.</w:t>
                      </w:r>
                    </w:p>
                    <w:p w14:paraId="111685EC" w14:textId="77777777" w:rsidR="00876A1C" w:rsidRPr="003754F7" w:rsidRDefault="00876A1C" w:rsidP="00C14D7E">
                      <w:pPr>
                        <w:numPr>
                          <w:ilvl w:val="0"/>
                          <w:numId w:val="11"/>
                        </w:numPr>
                        <w:rPr>
                          <w:rFonts w:ascii="Times New Roman" w:hAnsi="Times New Roman" w:cs="Times New Roman"/>
                          <w:sz w:val="20"/>
                          <w:szCs w:val="20"/>
                          <w:lang w:val="en-US"/>
                        </w:rPr>
                      </w:pPr>
                      <w:r w:rsidRPr="000B5A98">
                        <w:rPr>
                          <w:rFonts w:ascii="Times New Roman" w:hAnsi="Times New Roman" w:cs="Times New Roman"/>
                          <w:sz w:val="20"/>
                          <w:szCs w:val="20"/>
                          <w:lang w:val="en-US"/>
                        </w:rPr>
                        <w:t>This s</w:t>
                      </w:r>
                      <w:r>
                        <w:rPr>
                          <w:rFonts w:ascii="Times New Roman" w:hAnsi="Times New Roman" w:cs="Times New Roman"/>
                          <w:sz w:val="20"/>
                          <w:szCs w:val="20"/>
                          <w:lang w:val="en-US"/>
                        </w:rPr>
                        <w:t>ection</w:t>
                      </w:r>
                      <w:r w:rsidRPr="000B5A98">
                        <w:rPr>
                          <w:rFonts w:ascii="Times New Roman" w:hAnsi="Times New Roman" w:cs="Times New Roman"/>
                          <w:sz w:val="20"/>
                          <w:szCs w:val="20"/>
                          <w:lang w:val="en-US"/>
                        </w:rPr>
                        <w:t xml:space="preserve"> may require further consideration in light of the further development of the Rules of Procedure. </w:t>
                      </w:r>
                      <w:r w:rsidRPr="003754F7">
                        <w:rPr>
                          <w:rFonts w:ascii="Times New Roman" w:hAnsi="Times New Roman" w:cs="Times New Roman"/>
                          <w:sz w:val="20"/>
                          <w:szCs w:val="20"/>
                          <w:lang w:val="en-US"/>
                        </w:rPr>
                        <w:t>Rule 13 provides for special sessions to be convened to consider emergency matters under Article 162, paragraph 2(w), of the Convention.</w:t>
                      </w:r>
                    </w:p>
                    <w:p w14:paraId="281C5EC4" w14:textId="77777777" w:rsidR="00876A1C" w:rsidRPr="003754F7" w:rsidRDefault="00876A1C" w:rsidP="00C14D7E">
                      <w:pPr>
                        <w:numPr>
                          <w:ilvl w:val="0"/>
                          <w:numId w:val="11"/>
                        </w:numPr>
                        <w:rPr>
                          <w:rFonts w:ascii="Times New Roman" w:hAnsi="Times New Roman" w:cs="Times New Roman"/>
                          <w:sz w:val="20"/>
                          <w:szCs w:val="20"/>
                          <w:lang w:val="en-US"/>
                        </w:rPr>
                      </w:pPr>
                      <w:r w:rsidRPr="003754F7">
                        <w:rPr>
                          <w:rFonts w:ascii="Times New Roman" w:hAnsi="Times New Roman" w:cs="Times New Roman"/>
                          <w:sz w:val="20"/>
                          <w:szCs w:val="20"/>
                          <w:lang w:val="en-US"/>
                        </w:rPr>
                        <w:t>Consideration should be given to whether virtual meetings will be public or private. Rule 39 of the Council's Rules of Procedure contemplates private meetings only.</w:t>
                      </w:r>
                    </w:p>
                    <w:p w14:paraId="636C493C" w14:textId="77777777" w:rsidR="00876A1C" w:rsidRPr="003754F7" w:rsidRDefault="00876A1C" w:rsidP="00C14D7E">
                      <w:pPr>
                        <w:numPr>
                          <w:ilvl w:val="0"/>
                          <w:numId w:val="11"/>
                        </w:numPr>
                        <w:rPr>
                          <w:rFonts w:ascii="Times New Roman" w:hAnsi="Times New Roman" w:cs="Times New Roman"/>
                          <w:sz w:val="20"/>
                          <w:szCs w:val="20"/>
                          <w:lang w:val="en-US"/>
                        </w:rPr>
                      </w:pPr>
                      <w:r w:rsidRPr="003754F7">
                        <w:rPr>
                          <w:rFonts w:ascii="Times New Roman" w:hAnsi="Times New Roman" w:cs="Times New Roman"/>
                          <w:sz w:val="20"/>
                          <w:szCs w:val="20"/>
                          <w:lang w:val="en-US"/>
                        </w:rPr>
                        <w:t>This section requires further consideration once negotiations on draft regulation 103 are more advanced.</w:t>
                      </w:r>
                    </w:p>
                    <w:p w14:paraId="4C42804D" w14:textId="77777777" w:rsidR="00876A1C" w:rsidRPr="00F77C18" w:rsidRDefault="00876A1C" w:rsidP="00C14D7E">
                      <w:pPr>
                        <w:rPr>
                          <w:rFonts w:ascii="Times New Roman" w:hAnsi="Times New Roman" w:cs="Times New Roman"/>
                          <w:sz w:val="20"/>
                          <w:szCs w:val="20"/>
                          <w:lang w:val="en-US"/>
                        </w:rPr>
                      </w:pPr>
                    </w:p>
                  </w:txbxContent>
                </v:textbox>
                <w10:wrap type="square" anchorx="margin"/>
              </v:shape>
            </w:pict>
          </mc:Fallback>
        </mc:AlternateContent>
      </w:r>
    </w:p>
    <w:p w14:paraId="31DC880E" w14:textId="77777777" w:rsidR="00876A1C" w:rsidRPr="005C68FC" w:rsidRDefault="00876A1C" w:rsidP="00C14D7E">
      <w:pPr>
        <w:rPr>
          <w:rFonts w:ascii="Times New Roman" w:hAnsi="Times New Roman" w:cs="Times New Roman"/>
          <w:sz w:val="20"/>
          <w:szCs w:val="20"/>
          <w:lang w:val="en-US"/>
        </w:rPr>
      </w:pPr>
    </w:p>
    <w:p w14:paraId="745C5E98" w14:textId="77777777" w:rsidR="00876A1C" w:rsidRPr="00D9094F" w:rsidRDefault="00876A1C" w:rsidP="00C14D7E">
      <w:pPr>
        <w:rPr>
          <w:rFonts w:ascii="Times New Roman" w:hAnsi="Times New Roman" w:cs="Times New Roman"/>
          <w:i/>
          <w:iCs/>
          <w:sz w:val="20"/>
          <w:szCs w:val="20"/>
          <w:lang w:val="en-US"/>
        </w:rPr>
      </w:pPr>
      <w:r w:rsidRPr="00D9094F">
        <w:rPr>
          <w:rFonts w:ascii="Times New Roman" w:hAnsi="Times New Roman" w:cs="Times New Roman"/>
          <w:i/>
          <w:iCs/>
          <w:sz w:val="20"/>
          <w:szCs w:val="20"/>
          <w:lang w:val="en-US"/>
        </w:rPr>
        <w:t>Coordination and Cooperation</w:t>
      </w:r>
    </w:p>
    <w:p w14:paraId="16A5E16F" w14:textId="77777777" w:rsidR="00876A1C" w:rsidRPr="0082481F" w:rsidRDefault="00876A1C" w:rsidP="00C14D7E">
      <w:pPr>
        <w:jc w:val="center"/>
        <w:rPr>
          <w:rFonts w:ascii="Times New Roman" w:hAnsi="Times New Roman" w:cs="Times New Roman"/>
          <w:b/>
          <w:bCs/>
          <w:sz w:val="20"/>
          <w:szCs w:val="20"/>
          <w:lang w:val="en-US"/>
        </w:rPr>
      </w:pPr>
      <w:r w:rsidRPr="0082481F">
        <w:rPr>
          <w:rFonts w:ascii="Times New Roman" w:hAnsi="Times New Roman" w:cs="Times New Roman"/>
          <w:b/>
          <w:bCs/>
          <w:sz w:val="20"/>
          <w:szCs w:val="20"/>
          <w:lang w:val="en-US"/>
        </w:rPr>
        <w:t xml:space="preserve">Rule </w:t>
      </w:r>
      <w:r>
        <w:rPr>
          <w:rFonts w:ascii="Times New Roman" w:hAnsi="Times New Roman" w:cs="Times New Roman"/>
          <w:b/>
          <w:bCs/>
          <w:sz w:val="20"/>
          <w:szCs w:val="20"/>
          <w:lang w:val="en-US"/>
        </w:rPr>
        <w:t>7</w:t>
      </w:r>
    </w:p>
    <w:p w14:paraId="74C62EAC" w14:textId="77777777" w:rsidR="00876A1C" w:rsidRPr="002E6C7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sidRPr="002E6C7C">
        <w:rPr>
          <w:rFonts w:ascii="Times New Roman" w:hAnsi="Times New Roman" w:cs="Times New Roman"/>
          <w:sz w:val="20"/>
          <w:szCs w:val="20"/>
          <w:lang w:val="en-US"/>
        </w:rPr>
        <w:t xml:space="preserve">The Secretary-General shall provide such administrative support to the Committee and the Chief Inspector as is required, including the processing of all formal Communications and notifications to or from the Committee. </w:t>
      </w:r>
    </w:p>
    <w:p w14:paraId="71F96408" w14:textId="77777777" w:rsidR="00876A1C" w:rsidRPr="005C68FC" w:rsidRDefault="00876A1C" w:rsidP="00C14D7E">
      <w:pPr>
        <w:rPr>
          <w:rFonts w:ascii="Times New Roman" w:hAnsi="Times New Roman" w:cs="Times New Roman"/>
          <w:sz w:val="20"/>
          <w:szCs w:val="20"/>
          <w:lang w:val="en-US"/>
        </w:rPr>
      </w:pPr>
      <w:r w:rsidRPr="002E6C7C">
        <w:rPr>
          <w:rFonts w:ascii="Times New Roman" w:hAnsi="Times New Roman" w:cs="Times New Roman"/>
          <w:noProof/>
          <w:sz w:val="20"/>
          <w:szCs w:val="20"/>
          <w:lang w:val="en-US"/>
        </w:rPr>
        <w:lastRenderedPageBreak/>
        <mc:AlternateContent>
          <mc:Choice Requires="wps">
            <w:drawing>
              <wp:anchor distT="45720" distB="45720" distL="114300" distR="114300" simplePos="0" relativeHeight="251661312" behindDoc="0" locked="0" layoutInCell="1" allowOverlap="1" wp14:anchorId="53D5798A" wp14:editId="3FA480CB">
                <wp:simplePos x="0" y="0"/>
                <wp:positionH relativeFrom="margin">
                  <wp:align>right</wp:align>
                </wp:positionH>
                <wp:positionV relativeFrom="paragraph">
                  <wp:posOffset>499110</wp:posOffset>
                </wp:positionV>
                <wp:extent cx="6086475" cy="885825"/>
                <wp:effectExtent l="0" t="0" r="28575" b="28575"/>
                <wp:wrapSquare wrapText="bothSides"/>
                <wp:docPr id="19531477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5825"/>
                        </a:xfrm>
                        <a:prstGeom prst="rect">
                          <a:avLst/>
                        </a:prstGeom>
                        <a:solidFill>
                          <a:srgbClr val="FFFFFF"/>
                        </a:solidFill>
                        <a:ln w="9525">
                          <a:solidFill>
                            <a:srgbClr val="000000"/>
                          </a:solidFill>
                          <a:miter lim="800000"/>
                          <a:headEnd/>
                          <a:tailEnd/>
                        </a:ln>
                      </wps:spPr>
                      <wps:txbx>
                        <w:txbxContent>
                          <w:p w14:paraId="2E40ED54" w14:textId="77777777" w:rsidR="00876A1C" w:rsidRPr="00871FB7" w:rsidRDefault="00876A1C" w:rsidP="00C14D7E">
                            <w:pPr>
                              <w:rPr>
                                <w:rFonts w:ascii="Times New Roman" w:hAnsi="Times New Roman" w:cs="Times New Roman"/>
                                <w:sz w:val="20"/>
                                <w:szCs w:val="20"/>
                                <w:lang w:val="en-US"/>
                              </w:rPr>
                            </w:pPr>
                            <w:r w:rsidRPr="00871FB7">
                              <w:rPr>
                                <w:rFonts w:ascii="Times New Roman" w:hAnsi="Times New Roman" w:cs="Times New Roman"/>
                                <w:sz w:val="20"/>
                                <w:szCs w:val="20"/>
                                <w:lang w:val="en-US"/>
                              </w:rPr>
                              <w:t xml:space="preserve">Comment: </w:t>
                            </w:r>
                          </w:p>
                          <w:p w14:paraId="0BDD83D0" w14:textId="77777777" w:rsidR="00876A1C" w:rsidRPr="00871FB7" w:rsidRDefault="00876A1C" w:rsidP="00871FB7">
                            <w:pPr>
                              <w:pStyle w:val="Listeafsnit"/>
                              <w:numPr>
                                <w:ilvl w:val="0"/>
                                <w:numId w:val="12"/>
                              </w:numPr>
                              <w:rPr>
                                <w:rFonts w:ascii="Times New Roman" w:hAnsi="Times New Roman" w:cs="Times New Roman"/>
                                <w:sz w:val="20"/>
                                <w:szCs w:val="20"/>
                                <w:lang w:val="en-US"/>
                              </w:rPr>
                            </w:pPr>
                            <w:r w:rsidRPr="00871FB7">
                              <w:rPr>
                                <w:rFonts w:ascii="Times New Roman" w:hAnsi="Times New Roman" w:cs="Times New Roman"/>
                                <w:sz w:val="20"/>
                                <w:szCs w:val="20"/>
                                <w:lang w:val="en-US"/>
                              </w:rPr>
                              <w:t xml:space="preserve">This part is reintroduced from draft regulation 102, para 9 in the revised consolidated text, as it was requested by some participants during the informal meeting in July 2025. It is suggested to place this content in the draft Rules of Procedure.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5798A" id="_x0000_s1028" type="#_x0000_t202" style="position:absolute;margin-left:428.05pt;margin-top:39.3pt;width:479.25pt;height:6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">
                <v:textbox>
                  <w:txbxContent>
                    <w:p w14:paraId="2E40ED54" w14:textId="77777777" w:rsidR="00876A1C" w:rsidRPr="00871FB7" w:rsidRDefault="00876A1C" w:rsidP="00C14D7E">
                      <w:pPr>
                        <w:rPr>
                          <w:rFonts w:ascii="Times New Roman" w:hAnsi="Times New Roman" w:cs="Times New Roman"/>
                          <w:sz w:val="20"/>
                          <w:szCs w:val="20"/>
                          <w:lang w:val="en-US"/>
                        </w:rPr>
                      </w:pPr>
                      <w:r w:rsidRPr="00871FB7">
                        <w:rPr>
                          <w:rFonts w:ascii="Times New Roman" w:hAnsi="Times New Roman" w:cs="Times New Roman"/>
                          <w:sz w:val="20"/>
                          <w:szCs w:val="20"/>
                          <w:lang w:val="en-US"/>
                        </w:rPr>
                        <w:t xml:space="preserve">Comment: </w:t>
                      </w:r>
                    </w:p>
                    <w:p w14:paraId="0BDD83D0" w14:textId="77777777" w:rsidR="00876A1C" w:rsidRPr="00871FB7" w:rsidRDefault="00876A1C" w:rsidP="00871FB7">
                      <w:pPr>
                        <w:pStyle w:val="Listeafsnit"/>
                        <w:numPr>
                          <w:ilvl w:val="0"/>
                          <w:numId w:val="12"/>
                        </w:numPr>
                        <w:rPr>
                          <w:rFonts w:ascii="Times New Roman" w:hAnsi="Times New Roman" w:cs="Times New Roman"/>
                          <w:sz w:val="20"/>
                          <w:szCs w:val="20"/>
                          <w:lang w:val="en-US"/>
                        </w:rPr>
                      </w:pPr>
                      <w:r w:rsidRPr="00871FB7">
                        <w:rPr>
                          <w:rFonts w:ascii="Times New Roman" w:hAnsi="Times New Roman" w:cs="Times New Roman"/>
                          <w:sz w:val="20"/>
                          <w:szCs w:val="20"/>
                          <w:lang w:val="en-US"/>
                        </w:rPr>
                        <w:t xml:space="preserve">This part is reintroduced from draft regulation 102, para 9 in the revised consolidated text, as it was requested by some participants during the informal meeting in July 2025. It is suggested to place this content in the draft Rules of Procedure. </w:t>
                      </w:r>
                    </w:p>
                  </w:txbxContent>
                </v:textbox>
                <w10:wrap type="square" anchorx="margin"/>
              </v:shape>
            </w:pict>
          </mc:Fallback>
        </mc:AlternateContent>
      </w:r>
      <w:r>
        <w:rPr>
          <w:rFonts w:ascii="Times New Roman" w:hAnsi="Times New Roman" w:cs="Times New Roman"/>
          <w:sz w:val="20"/>
          <w:szCs w:val="20"/>
          <w:lang w:val="en-US"/>
        </w:rPr>
        <w:t>2.</w:t>
      </w:r>
      <w:r>
        <w:rPr>
          <w:rFonts w:ascii="Times New Roman" w:hAnsi="Times New Roman" w:cs="Times New Roman"/>
          <w:sz w:val="20"/>
          <w:szCs w:val="20"/>
          <w:lang w:val="en-US"/>
        </w:rPr>
        <w:tab/>
      </w:r>
      <w:r w:rsidRPr="002E6C7C">
        <w:rPr>
          <w:rFonts w:ascii="Times New Roman" w:hAnsi="Times New Roman" w:cs="Times New Roman"/>
          <w:sz w:val="20"/>
          <w:szCs w:val="20"/>
          <w:lang w:val="en-US"/>
        </w:rPr>
        <w:t xml:space="preserve">All notifications to the Committee shall be addressed to the Secretary-General who shall promptly transmit them to the Chair of the Committee. </w:t>
      </w:r>
    </w:p>
    <w:p w14:paraId="077F8850" w14:textId="77777777" w:rsidR="00876A1C" w:rsidRDefault="00876A1C" w:rsidP="00C14D7E">
      <w:pPr>
        <w:rPr>
          <w:rFonts w:ascii="Times New Roman" w:hAnsi="Times New Roman" w:cs="Times New Roman"/>
          <w:sz w:val="20"/>
          <w:szCs w:val="20"/>
          <w:lang w:val="en-US"/>
        </w:rPr>
      </w:pPr>
    </w:p>
    <w:p w14:paraId="082775C8" w14:textId="77777777" w:rsidR="00876A1C" w:rsidRPr="005C68FC" w:rsidRDefault="00876A1C" w:rsidP="00C14D7E">
      <w:pPr>
        <w:rPr>
          <w:rFonts w:ascii="Times New Roman" w:hAnsi="Times New Roman" w:cs="Times New Roman"/>
          <w:sz w:val="20"/>
          <w:szCs w:val="20"/>
          <w:highlight w:val="yellow"/>
          <w:lang w:val="en-US"/>
        </w:rPr>
      </w:pPr>
    </w:p>
    <w:p w14:paraId="6CDE2676" w14:textId="77777777" w:rsidR="00876A1C" w:rsidRPr="005C68FC" w:rsidRDefault="00876A1C" w:rsidP="00C14D7E">
      <w:pPr>
        <w:rPr>
          <w:rFonts w:ascii="Times New Roman" w:hAnsi="Times New Roman" w:cs="Times New Roman"/>
          <w:b/>
          <w:bCs/>
          <w:sz w:val="20"/>
          <w:szCs w:val="20"/>
          <w:lang w:val="en-US"/>
        </w:rPr>
      </w:pPr>
    </w:p>
    <w:p w14:paraId="21767CEA" w14:textId="77777777" w:rsidR="00876A1C" w:rsidRPr="005C68FC" w:rsidRDefault="00876A1C" w:rsidP="00C14D7E">
      <w:pPr>
        <w:rPr>
          <w:rFonts w:ascii="Times New Roman" w:hAnsi="Times New Roman" w:cs="Times New Roman"/>
          <w:sz w:val="20"/>
          <w:szCs w:val="20"/>
          <w:lang w:val="en-US"/>
        </w:rPr>
      </w:pPr>
      <w:r w:rsidRPr="005C68FC">
        <w:rPr>
          <w:rFonts w:ascii="Times New Roman" w:hAnsi="Times New Roman" w:cs="Times New Roman"/>
          <w:sz w:val="20"/>
          <w:szCs w:val="20"/>
          <w:lang w:val="en-US"/>
        </w:rPr>
        <w:t>  </w:t>
      </w:r>
    </w:p>
    <w:p w14:paraId="59A2D188" w14:textId="77777777" w:rsidR="00876A1C" w:rsidRDefault="00876A1C" w:rsidP="00C14D7E">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564D34E8" w14:textId="77777777" w:rsidR="00876A1C" w:rsidRPr="00042039" w:rsidRDefault="00876A1C" w:rsidP="00C14D7E">
      <w:pPr>
        <w:rPr>
          <w:rFonts w:ascii="Times New Roman" w:hAnsi="Times New Roman" w:cs="Times New Roman"/>
          <w:b/>
          <w:bCs/>
          <w:lang w:val="en-US"/>
        </w:rPr>
      </w:pPr>
      <w:r w:rsidRPr="00042039">
        <w:rPr>
          <w:rFonts w:ascii="Times New Roman" w:hAnsi="Times New Roman" w:cs="Times New Roman"/>
          <w:b/>
          <w:bCs/>
          <w:lang w:val="en-US"/>
        </w:rPr>
        <w:lastRenderedPageBreak/>
        <w:t>Part II</w:t>
      </w:r>
    </w:p>
    <w:p w14:paraId="6AF394B3" w14:textId="77777777" w:rsidR="00876A1C" w:rsidRPr="00042039" w:rsidRDefault="00876A1C" w:rsidP="00C14D7E">
      <w:pPr>
        <w:rPr>
          <w:rFonts w:ascii="Times New Roman" w:hAnsi="Times New Roman" w:cs="Times New Roman"/>
          <w:b/>
          <w:bCs/>
          <w:lang w:val="en-US"/>
        </w:rPr>
      </w:pPr>
      <w:r w:rsidRPr="00042039">
        <w:rPr>
          <w:rFonts w:ascii="Times New Roman" w:hAnsi="Times New Roman" w:cs="Times New Roman"/>
          <w:b/>
          <w:bCs/>
          <w:lang w:val="en-US"/>
        </w:rPr>
        <w:t xml:space="preserve">Draft Compliance Strategy </w:t>
      </w:r>
    </w:p>
    <w:p w14:paraId="1D9C90DD" w14:textId="77777777" w:rsidR="00876A1C" w:rsidRPr="00042039" w:rsidRDefault="00876A1C" w:rsidP="00C14D7E">
      <w:pPr>
        <w:rPr>
          <w:rFonts w:ascii="Times New Roman" w:hAnsi="Times New Roman" w:cs="Times New Roman"/>
          <w:b/>
          <w:bCs/>
          <w:lang w:val="en-US"/>
        </w:rPr>
      </w:pPr>
      <w:r w:rsidRPr="00042039">
        <w:rPr>
          <w:rFonts w:ascii="Times New Roman" w:hAnsi="Times New Roman" w:cs="Times New Roman"/>
          <w:b/>
          <w:bCs/>
          <w:lang w:val="en-US"/>
        </w:rPr>
        <w:t>(Working document – content for consideration)</w:t>
      </w:r>
    </w:p>
    <w:p w14:paraId="1A6E2F40" w14:textId="77777777" w:rsidR="00876A1C" w:rsidRPr="002969A0" w:rsidRDefault="00876A1C" w:rsidP="00C14D7E">
      <w:pPr>
        <w:rPr>
          <w:rFonts w:ascii="Times New Roman" w:hAnsi="Times New Roman" w:cs="Times New Roman"/>
          <w:b/>
          <w:bCs/>
          <w:sz w:val="28"/>
          <w:szCs w:val="28"/>
          <w:lang w:val="en-US"/>
        </w:rPr>
      </w:pPr>
      <w:r w:rsidRPr="005C68FC">
        <w:rPr>
          <w:rFonts w:ascii="Times New Roman" w:hAnsi="Times New Roman" w:cs="Times New Roman"/>
          <w:noProof/>
          <w:sz w:val="20"/>
          <w:szCs w:val="20"/>
        </w:rPr>
        <mc:AlternateContent>
          <mc:Choice Requires="wps">
            <w:drawing>
              <wp:anchor distT="45720" distB="45720" distL="114300" distR="114300" simplePos="0" relativeHeight="251665408" behindDoc="0" locked="0" layoutInCell="1" allowOverlap="1" wp14:anchorId="24EDC789" wp14:editId="53100628">
                <wp:simplePos x="0" y="0"/>
                <wp:positionH relativeFrom="margin">
                  <wp:align>left</wp:align>
                </wp:positionH>
                <wp:positionV relativeFrom="paragraph">
                  <wp:posOffset>386715</wp:posOffset>
                </wp:positionV>
                <wp:extent cx="5946775" cy="2324100"/>
                <wp:effectExtent l="0" t="0" r="15875" b="19050"/>
                <wp:wrapSquare wrapText="bothSides"/>
                <wp:docPr id="6220755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2324100"/>
                        </a:xfrm>
                        <a:prstGeom prst="rect">
                          <a:avLst/>
                        </a:prstGeom>
                        <a:solidFill>
                          <a:srgbClr val="FFFFFF"/>
                        </a:solidFill>
                        <a:ln w="9525">
                          <a:solidFill>
                            <a:srgbClr val="000000"/>
                          </a:solidFill>
                          <a:miter lim="800000"/>
                          <a:headEnd/>
                          <a:tailEnd/>
                        </a:ln>
                      </wps:spPr>
                      <wps:txbx>
                        <w:txbxContent>
                          <w:p w14:paraId="4C16834D"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b/>
                                <w:bCs/>
                                <w:sz w:val="20"/>
                                <w:szCs w:val="20"/>
                                <w:lang w:val="en-US"/>
                              </w:rPr>
                              <w:t>Draft Compliance Strategy – Explanatory Note</w:t>
                            </w:r>
                          </w:p>
                          <w:p w14:paraId="16B7F86B"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b/>
                                <w:bCs/>
                                <w:sz w:val="20"/>
                                <w:szCs w:val="20"/>
                                <w:lang w:val="en-US"/>
                              </w:rPr>
                              <w:t>Status of this Document</w:t>
                            </w:r>
                          </w:p>
                          <w:p w14:paraId="2AC1D360"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sz w:val="20"/>
                                <w:szCs w:val="20"/>
                                <w:lang w:val="en-US"/>
                              </w:rPr>
                              <w:t>This document contains preliminary content for a draft Compliance Strategy. It is a work in progress and should not be considered final. The content primarily comprises elements transferred from the draft exploitation regulations</w:t>
                            </w:r>
                            <w:r>
                              <w:rPr>
                                <w:rFonts w:ascii="Times New Roman" w:hAnsi="Times New Roman" w:cs="Times New Roman"/>
                                <w:sz w:val="20"/>
                                <w:szCs w:val="20"/>
                                <w:lang w:val="en-US"/>
                              </w:rPr>
                              <w:t xml:space="preserve"> - </w:t>
                            </w:r>
                            <w:r w:rsidRPr="003304C3">
                              <w:rPr>
                                <w:rFonts w:ascii="Times New Roman" w:hAnsi="Times New Roman" w:cs="Times New Roman"/>
                                <w:sz w:val="20"/>
                                <w:szCs w:val="20"/>
                                <w:lang w:val="en-US"/>
                              </w:rPr>
                              <w:t>particularly draft regulation 102</w:t>
                            </w:r>
                            <w:r>
                              <w:rPr>
                                <w:rFonts w:ascii="Times New Roman" w:hAnsi="Times New Roman" w:cs="Times New Roman"/>
                                <w:sz w:val="20"/>
                                <w:szCs w:val="20"/>
                                <w:lang w:val="en-US"/>
                              </w:rPr>
                              <w:t xml:space="preserve"> - </w:t>
                            </w:r>
                            <w:r w:rsidRPr="003304C3">
                              <w:rPr>
                                <w:rFonts w:ascii="Times New Roman" w:hAnsi="Times New Roman" w:cs="Times New Roman"/>
                                <w:sz w:val="20"/>
                                <w:szCs w:val="20"/>
                                <w:lang w:val="en-US"/>
                              </w:rPr>
                              <w:t>as these provisions are considered more appropriately situated in the future Compliance Strategy.</w:t>
                            </w:r>
                          </w:p>
                          <w:p w14:paraId="68D6CDAF"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b/>
                                <w:bCs/>
                                <w:sz w:val="20"/>
                                <w:szCs w:val="20"/>
                                <w:lang w:val="en-US"/>
                              </w:rPr>
                              <w:t>Scope and Purpose</w:t>
                            </w:r>
                          </w:p>
                          <w:p w14:paraId="139D9B2D" w14:textId="77777777" w:rsidR="00876A1C" w:rsidRDefault="00876A1C" w:rsidP="00C14D7E">
                            <w:pPr>
                              <w:rPr>
                                <w:rFonts w:ascii="Times New Roman" w:hAnsi="Times New Roman" w:cs="Times New Roman"/>
                                <w:sz w:val="20"/>
                                <w:szCs w:val="20"/>
                                <w:lang w:val="en-US"/>
                              </w:rPr>
                            </w:pPr>
                            <w:r w:rsidRPr="003304C3">
                              <w:rPr>
                                <w:rFonts w:ascii="Times New Roman" w:hAnsi="Times New Roman" w:cs="Times New Roman"/>
                                <w:sz w:val="20"/>
                                <w:szCs w:val="20"/>
                                <w:lang w:val="en-US"/>
                              </w:rPr>
                              <w:t>Further information is required to develop a comprehensive strategy; however, this falls outside the scope of this Group's work. The content provided here is intended for future consideration and should be regarded as a working document.</w:t>
                            </w:r>
                          </w:p>
                          <w:p w14:paraId="3E778A90" w14:textId="77777777" w:rsidR="00876A1C" w:rsidRPr="003304C3" w:rsidRDefault="00876A1C" w:rsidP="00C14D7E">
                            <w:pPr>
                              <w:rPr>
                                <w:rFonts w:ascii="Times New Roman" w:hAnsi="Times New Roman" w:cs="Times New Roman"/>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DC789" id="_x0000_s1029" type="#_x0000_t202" style="position:absolute;margin-left:0;margin-top:30.45pt;width:468.25pt;height:18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">
                <v:textbox>
                  <w:txbxContent>
                    <w:p w14:paraId="4C16834D"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b/>
                          <w:bCs/>
                          <w:sz w:val="20"/>
                          <w:szCs w:val="20"/>
                          <w:lang w:val="en-US"/>
                        </w:rPr>
                        <w:t>Draft Compliance Strategy – Explanatory Note</w:t>
                      </w:r>
                    </w:p>
                    <w:p w14:paraId="16B7F86B"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b/>
                          <w:bCs/>
                          <w:sz w:val="20"/>
                          <w:szCs w:val="20"/>
                          <w:lang w:val="en-US"/>
                        </w:rPr>
                        <w:t>Status of this Document</w:t>
                      </w:r>
                    </w:p>
                    <w:p w14:paraId="2AC1D360"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sz w:val="20"/>
                          <w:szCs w:val="20"/>
                          <w:lang w:val="en-US"/>
                        </w:rPr>
                        <w:t>This document contains preliminary content for a draft Compliance Strategy. It is a work in progress and should not be considered final. The content primarily comprises elements transferred from the draft exploitation regulations</w:t>
                      </w:r>
                      <w:r>
                        <w:rPr>
                          <w:rFonts w:ascii="Times New Roman" w:hAnsi="Times New Roman" w:cs="Times New Roman"/>
                          <w:sz w:val="20"/>
                          <w:szCs w:val="20"/>
                          <w:lang w:val="en-US"/>
                        </w:rPr>
                        <w:t xml:space="preserve"> - </w:t>
                      </w:r>
                      <w:r w:rsidRPr="003304C3">
                        <w:rPr>
                          <w:rFonts w:ascii="Times New Roman" w:hAnsi="Times New Roman" w:cs="Times New Roman"/>
                          <w:sz w:val="20"/>
                          <w:szCs w:val="20"/>
                          <w:lang w:val="en-US"/>
                        </w:rPr>
                        <w:t>particularly draft regulation 102</w:t>
                      </w:r>
                      <w:r>
                        <w:rPr>
                          <w:rFonts w:ascii="Times New Roman" w:hAnsi="Times New Roman" w:cs="Times New Roman"/>
                          <w:sz w:val="20"/>
                          <w:szCs w:val="20"/>
                          <w:lang w:val="en-US"/>
                        </w:rPr>
                        <w:t xml:space="preserve"> - </w:t>
                      </w:r>
                      <w:r w:rsidRPr="003304C3">
                        <w:rPr>
                          <w:rFonts w:ascii="Times New Roman" w:hAnsi="Times New Roman" w:cs="Times New Roman"/>
                          <w:sz w:val="20"/>
                          <w:szCs w:val="20"/>
                          <w:lang w:val="en-US"/>
                        </w:rPr>
                        <w:t>as these provisions are considered more appropriately situated in the future Compliance Strategy.</w:t>
                      </w:r>
                    </w:p>
                    <w:p w14:paraId="68D6CDAF" w14:textId="77777777" w:rsidR="00876A1C" w:rsidRPr="003304C3" w:rsidRDefault="00876A1C" w:rsidP="00C14D7E">
                      <w:pPr>
                        <w:rPr>
                          <w:rFonts w:ascii="Times New Roman" w:hAnsi="Times New Roman" w:cs="Times New Roman"/>
                          <w:sz w:val="20"/>
                          <w:szCs w:val="20"/>
                          <w:lang w:val="en-US"/>
                        </w:rPr>
                      </w:pPr>
                      <w:r w:rsidRPr="003304C3">
                        <w:rPr>
                          <w:rFonts w:ascii="Times New Roman" w:hAnsi="Times New Roman" w:cs="Times New Roman"/>
                          <w:b/>
                          <w:bCs/>
                          <w:sz w:val="20"/>
                          <w:szCs w:val="20"/>
                          <w:lang w:val="en-US"/>
                        </w:rPr>
                        <w:t>Scope and Purpose</w:t>
                      </w:r>
                    </w:p>
                    <w:p w14:paraId="139D9B2D" w14:textId="77777777" w:rsidR="00876A1C" w:rsidRDefault="00876A1C" w:rsidP="00C14D7E">
                      <w:pPr>
                        <w:rPr>
                          <w:rFonts w:ascii="Times New Roman" w:hAnsi="Times New Roman" w:cs="Times New Roman"/>
                          <w:sz w:val="20"/>
                          <w:szCs w:val="20"/>
                          <w:lang w:val="en-US"/>
                        </w:rPr>
                      </w:pPr>
                      <w:r w:rsidRPr="003304C3">
                        <w:rPr>
                          <w:rFonts w:ascii="Times New Roman" w:hAnsi="Times New Roman" w:cs="Times New Roman"/>
                          <w:sz w:val="20"/>
                          <w:szCs w:val="20"/>
                          <w:lang w:val="en-US"/>
                        </w:rPr>
                        <w:t>Further information is required to develop a comprehensive strategy; however, this falls outside the scope of this Group's work. The content provided here is intended for future consideration and should be regarded as a working document.</w:t>
                      </w:r>
                    </w:p>
                    <w:p w14:paraId="3E778A90" w14:textId="77777777" w:rsidR="00876A1C" w:rsidRPr="003304C3" w:rsidRDefault="00876A1C" w:rsidP="00C14D7E">
                      <w:pPr>
                        <w:rPr>
                          <w:rFonts w:ascii="Times New Roman" w:hAnsi="Times New Roman" w:cs="Times New Roman"/>
                          <w:sz w:val="20"/>
                          <w:szCs w:val="20"/>
                          <w:lang w:val="en-US"/>
                        </w:rPr>
                      </w:pPr>
                    </w:p>
                  </w:txbxContent>
                </v:textbox>
                <w10:wrap type="square" anchorx="margin"/>
              </v:shape>
            </w:pict>
          </mc:Fallback>
        </mc:AlternateContent>
      </w:r>
    </w:p>
    <w:p w14:paraId="1017703C" w14:textId="77777777" w:rsidR="00876A1C" w:rsidRPr="005C68FC" w:rsidRDefault="00876A1C" w:rsidP="00C14D7E">
      <w:pPr>
        <w:pStyle w:val="Listeafsnit"/>
        <w:rPr>
          <w:rFonts w:ascii="Times New Roman" w:hAnsi="Times New Roman" w:cs="Times New Roman"/>
          <w:sz w:val="20"/>
          <w:szCs w:val="20"/>
          <w:highlight w:val="green"/>
          <w:lang w:val="en-US"/>
        </w:rPr>
      </w:pPr>
    </w:p>
    <w:p w14:paraId="6E397A4C" w14:textId="77777777" w:rsidR="00876A1C" w:rsidRPr="005C68FC" w:rsidRDefault="00876A1C" w:rsidP="00C14D7E">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 </w:t>
      </w:r>
      <w:r w:rsidRPr="005C68FC">
        <w:rPr>
          <w:rFonts w:ascii="Times New Roman" w:hAnsi="Times New Roman" w:cs="Times New Roman"/>
          <w:b/>
          <w:bCs/>
          <w:sz w:val="20"/>
          <w:szCs w:val="20"/>
          <w:lang w:val="en-US"/>
        </w:rPr>
        <w:t xml:space="preserve">Powers and functions </w:t>
      </w:r>
    </w:p>
    <w:p w14:paraId="2E15A0E8" w14:textId="77777777" w:rsidR="00876A1C" w:rsidRPr="005C68FC" w:rsidRDefault="00876A1C" w:rsidP="00C14D7E">
      <w:pPr>
        <w:rPr>
          <w:rFonts w:ascii="Times New Roman" w:hAnsi="Times New Roman" w:cs="Times New Roman"/>
          <w:sz w:val="20"/>
          <w:szCs w:val="20"/>
          <w:lang w:val="en-US"/>
        </w:rPr>
      </w:pPr>
      <w:r w:rsidRPr="005C68FC">
        <w:rPr>
          <w:rFonts w:ascii="Times New Roman" w:hAnsi="Times New Roman" w:cs="Times New Roman"/>
          <w:sz w:val="20"/>
          <w:szCs w:val="20"/>
          <w:lang w:val="en-TT"/>
        </w:rPr>
        <w:t xml:space="preserve">Without prejudice to the powers and functions conferred upon </w:t>
      </w:r>
      <w:r>
        <w:rPr>
          <w:rFonts w:ascii="Times New Roman" w:hAnsi="Times New Roman" w:cs="Times New Roman"/>
          <w:sz w:val="20"/>
          <w:szCs w:val="20"/>
          <w:lang w:val="en-TT"/>
        </w:rPr>
        <w:t xml:space="preserve">any other </w:t>
      </w:r>
      <w:r w:rsidRPr="005C68FC">
        <w:rPr>
          <w:rFonts w:ascii="Times New Roman" w:hAnsi="Times New Roman" w:cs="Times New Roman"/>
          <w:sz w:val="20"/>
          <w:szCs w:val="20"/>
          <w:lang w:val="en-TT"/>
        </w:rPr>
        <w:t>organ of the Authority, in particular the mandate of the Commission as contained in Article 165(2) of the Convention, and subject to Regulation 102(5) of the Regulations, the Committee shall:</w:t>
      </w:r>
    </w:p>
    <w:p w14:paraId="0ECAC252"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Administer and manage the roster of Inspectors and matters relating to inspection, compliance and enforcement in accordance with relevant policies or directions issued by the Council;</w:t>
      </w:r>
      <w:r w:rsidRPr="005C68FC">
        <w:rPr>
          <w:rFonts w:ascii="Times New Roman" w:hAnsi="Times New Roman" w:cs="Times New Roman"/>
          <w:sz w:val="20"/>
          <w:szCs w:val="20"/>
          <w:lang w:val="en-US"/>
        </w:rPr>
        <w:t>  </w:t>
      </w:r>
    </w:p>
    <w:p w14:paraId="138D75B2"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Provide recommendations to the Council on matters relating to inspection, compliance, and enforcement including clarifying what constitutes non-compliance;</w:t>
      </w:r>
      <w:r w:rsidRPr="005C68FC">
        <w:rPr>
          <w:rFonts w:ascii="Times New Roman" w:hAnsi="Times New Roman" w:cs="Times New Roman"/>
          <w:sz w:val="20"/>
          <w:szCs w:val="20"/>
          <w:lang w:val="en-US"/>
        </w:rPr>
        <w:t>  </w:t>
      </w:r>
    </w:p>
    <w:p w14:paraId="34E8E018"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[Appoint Inspectors as required from the approved roster of Inspectors, according to the approved inspection programme and schedule or as may be required;]</w:t>
      </w:r>
      <w:r w:rsidRPr="005C68FC">
        <w:rPr>
          <w:rFonts w:ascii="Times New Roman" w:hAnsi="Times New Roman" w:cs="Times New Roman"/>
          <w:sz w:val="20"/>
          <w:szCs w:val="20"/>
          <w:lang w:val="en-US"/>
        </w:rPr>
        <w:t>  </w:t>
      </w:r>
    </w:p>
    <w:p w14:paraId="64E9B58F"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[Establish procedures and routines for investigation of possible instances of non-compliance;]</w:t>
      </w:r>
      <w:r w:rsidRPr="005C68FC">
        <w:rPr>
          <w:rFonts w:ascii="Times New Roman" w:hAnsi="Times New Roman" w:cs="Times New Roman"/>
          <w:sz w:val="20"/>
          <w:szCs w:val="20"/>
          <w:lang w:val="en-US"/>
        </w:rPr>
        <w:t>  </w:t>
      </w:r>
    </w:p>
    <w:p w14:paraId="74E71BAB"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Review the annual reports of Contractors, as examined by the Commission, and consider any instances of non-compliance;</w:t>
      </w:r>
      <w:r w:rsidRPr="005C68FC">
        <w:rPr>
          <w:rFonts w:ascii="Times New Roman" w:hAnsi="Times New Roman" w:cs="Times New Roman"/>
          <w:sz w:val="20"/>
          <w:szCs w:val="20"/>
          <w:lang w:val="en-US"/>
        </w:rPr>
        <w:t>  </w:t>
      </w:r>
    </w:p>
    <w:p w14:paraId="611D5E76" w14:textId="77777777" w:rsidR="00876A1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Examine reports and recommendations from the Chief Inspector and Inspectors, and other relevant data and information and consider any instances of non-compliance;</w:t>
      </w:r>
      <w:r w:rsidRPr="005C68FC">
        <w:rPr>
          <w:rFonts w:ascii="Times New Roman" w:hAnsi="Times New Roman" w:cs="Times New Roman"/>
          <w:sz w:val="20"/>
          <w:szCs w:val="20"/>
          <w:lang w:val="en-US"/>
        </w:rPr>
        <w:t>  </w:t>
      </w:r>
    </w:p>
    <w:p w14:paraId="3EBDD213" w14:textId="77777777" w:rsidR="00876A1C" w:rsidRPr="00D863A7" w:rsidRDefault="00876A1C" w:rsidP="00C14D7E">
      <w:pPr>
        <w:pStyle w:val="Listeafsnit"/>
        <w:numPr>
          <w:ilvl w:val="0"/>
          <w:numId w:val="4"/>
        </w:numPr>
        <w:rPr>
          <w:rFonts w:ascii="Times New Roman" w:hAnsi="Times New Roman" w:cs="Times New Roman"/>
          <w:sz w:val="20"/>
          <w:szCs w:val="20"/>
          <w:lang w:val="en-US"/>
        </w:rPr>
      </w:pPr>
      <w:r w:rsidRPr="009C15D8">
        <w:rPr>
          <w:rFonts w:ascii="Times New Roman" w:hAnsi="Times New Roman" w:cs="Times New Roman"/>
          <w:sz w:val="20"/>
          <w:szCs w:val="20"/>
          <w:lang w:val="en-US"/>
        </w:rPr>
        <w:t>Secure compliance by Contractors with their respective</w:t>
      </w:r>
      <w:r>
        <w:rPr>
          <w:rFonts w:ascii="Times New Roman" w:hAnsi="Times New Roman" w:cs="Times New Roman"/>
          <w:sz w:val="20"/>
          <w:szCs w:val="20"/>
          <w:lang w:val="en-US"/>
        </w:rPr>
        <w:t xml:space="preserve"> Exploration Contracts and</w:t>
      </w:r>
      <w:r w:rsidRPr="009C15D8">
        <w:rPr>
          <w:rFonts w:ascii="Times New Roman" w:hAnsi="Times New Roman" w:cs="Times New Roman"/>
          <w:sz w:val="20"/>
          <w:szCs w:val="20"/>
          <w:lang w:val="en-US"/>
        </w:rPr>
        <w:t xml:space="preserve"> Exploitation Contracts</w:t>
      </w:r>
      <w:r>
        <w:rPr>
          <w:rFonts w:ascii="Times New Roman" w:hAnsi="Times New Roman" w:cs="Times New Roman"/>
          <w:sz w:val="20"/>
          <w:szCs w:val="20"/>
          <w:lang w:val="en-US"/>
        </w:rPr>
        <w:t>, in accordance with the applicable rules, regulations and procedures of the Authority;</w:t>
      </w:r>
      <w:r w:rsidRPr="005C68FC">
        <w:rPr>
          <w:rFonts w:ascii="Times New Roman" w:hAnsi="Times New Roman" w:cs="Times New Roman"/>
          <w:sz w:val="20"/>
          <w:szCs w:val="20"/>
          <w:lang w:val="en-US"/>
        </w:rPr>
        <w:t> </w:t>
      </w:r>
    </w:p>
    <w:p w14:paraId="1330EA63"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 xml:space="preserve">Report to the Council the results of inspections and resulting recommendations for enforcement </w:t>
      </w:r>
      <w:r>
        <w:rPr>
          <w:rFonts w:ascii="Times New Roman" w:hAnsi="Times New Roman" w:cs="Times New Roman"/>
          <w:sz w:val="20"/>
          <w:szCs w:val="20"/>
          <w:lang w:val="en-TT"/>
        </w:rPr>
        <w:t>measures</w:t>
      </w:r>
      <w:r w:rsidRPr="005C68FC">
        <w:rPr>
          <w:rFonts w:ascii="Times New Roman" w:hAnsi="Times New Roman" w:cs="Times New Roman"/>
          <w:sz w:val="20"/>
          <w:szCs w:val="20"/>
          <w:lang w:val="en-TT"/>
        </w:rPr>
        <w:t>, in a timely and comprehensive manner and coordinate compliance matters with other organs of the Authority that play a role in inspection, compliance and enforcement;</w:t>
      </w:r>
      <w:r w:rsidRPr="005C68FC">
        <w:rPr>
          <w:rFonts w:ascii="Times New Roman" w:hAnsi="Times New Roman" w:cs="Times New Roman"/>
          <w:sz w:val="20"/>
          <w:szCs w:val="20"/>
          <w:lang w:val="en-US"/>
        </w:rPr>
        <w:t>  </w:t>
      </w:r>
    </w:p>
    <w:p w14:paraId="569C9661"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Investigate allegations from members of the Authority, members of the Commission, relevant [adjacent] coastal States or the Secretary-General, as well as from observers of the Authority and other Stakeholders on possible instances of Contractor non-compliance[, including through any whistleblowing procedures under Regulation 101 bis.];</w:t>
      </w:r>
      <w:r w:rsidRPr="005C68FC">
        <w:rPr>
          <w:rFonts w:ascii="Times New Roman" w:hAnsi="Times New Roman" w:cs="Times New Roman"/>
          <w:sz w:val="20"/>
          <w:szCs w:val="20"/>
          <w:lang w:val="en-US"/>
        </w:rPr>
        <w:t>  </w:t>
      </w:r>
    </w:p>
    <w:p w14:paraId="5041ECD7"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lastRenderedPageBreak/>
        <w:t>Convene, with the support of the Secretary-General, a process to liaise with Contractors in cases of non-compliance or complaints, including conducting oral hearings and conduct an inquiry into any Incident;</w:t>
      </w:r>
      <w:r w:rsidRPr="005C68FC">
        <w:rPr>
          <w:rFonts w:ascii="Times New Roman" w:hAnsi="Times New Roman" w:cs="Times New Roman"/>
          <w:sz w:val="20"/>
          <w:szCs w:val="20"/>
          <w:lang w:val="en-US"/>
        </w:rPr>
        <w:t>  </w:t>
      </w:r>
    </w:p>
    <w:p w14:paraId="0C27D9A3"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Consult and cooperate, through the Secretary-General with Sponsoring States, flag States, port States and competent international organizations [and any other relevant stakeholders] as regards compliance and enforcement measures;</w:t>
      </w:r>
      <w:r w:rsidRPr="005C68FC">
        <w:rPr>
          <w:rFonts w:ascii="Times New Roman" w:hAnsi="Times New Roman" w:cs="Times New Roman"/>
          <w:sz w:val="20"/>
          <w:szCs w:val="20"/>
          <w:lang w:val="en-US"/>
        </w:rPr>
        <w:t>  </w:t>
      </w:r>
    </w:p>
    <w:p w14:paraId="6FD4FA69"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Examining complaints under Regulation 101 and making any recommendations to the Council;</w:t>
      </w:r>
      <w:r w:rsidRPr="005C68FC">
        <w:rPr>
          <w:rFonts w:ascii="Times New Roman" w:hAnsi="Times New Roman" w:cs="Times New Roman"/>
          <w:sz w:val="20"/>
          <w:szCs w:val="20"/>
          <w:lang w:val="en-US"/>
        </w:rPr>
        <w:t>  </w:t>
      </w:r>
    </w:p>
    <w:p w14:paraId="589770D3"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Make recommendations to the Council for the issue of emergency orders and appropriate penalties;</w:t>
      </w:r>
    </w:p>
    <w:p w14:paraId="44D03109"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Undertake in collaboration with the Secretary-General compliance promotion activities to promote understanding of and compliance with the rules, regulations and procedures of the Authority, including dissemination of best practice arising from inspection activities;</w:t>
      </w:r>
      <w:r w:rsidRPr="005C68FC">
        <w:rPr>
          <w:rFonts w:ascii="Times New Roman" w:hAnsi="Times New Roman" w:cs="Times New Roman"/>
          <w:sz w:val="20"/>
          <w:szCs w:val="20"/>
          <w:lang w:val="en-US"/>
        </w:rPr>
        <w:t>  </w:t>
      </w:r>
    </w:p>
    <w:p w14:paraId="01F5ECB5"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Appoint, where time is of the essence, a competent independent person to perform any or all of the functions of an Inspector where the nature or subject matter of an inspection requires specialist knowledge or experience that is not available on the approved roster of Inspectors; and</w:t>
      </w:r>
      <w:r w:rsidRPr="005C68FC">
        <w:rPr>
          <w:rFonts w:ascii="Times New Roman" w:hAnsi="Times New Roman" w:cs="Times New Roman"/>
          <w:sz w:val="20"/>
          <w:szCs w:val="20"/>
          <w:lang w:val="en-US"/>
        </w:rPr>
        <w:t>  </w:t>
      </w:r>
    </w:p>
    <w:p w14:paraId="52868557" w14:textId="77777777" w:rsidR="00876A1C" w:rsidRPr="005C68FC" w:rsidRDefault="00876A1C" w:rsidP="00C14D7E">
      <w:pPr>
        <w:pStyle w:val="Listeafsnit"/>
        <w:numPr>
          <w:ilvl w:val="0"/>
          <w:numId w:val="4"/>
        </w:numPr>
        <w:rPr>
          <w:rFonts w:ascii="Times New Roman" w:hAnsi="Times New Roman" w:cs="Times New Roman"/>
          <w:sz w:val="20"/>
          <w:szCs w:val="20"/>
          <w:lang w:val="en-US"/>
        </w:rPr>
      </w:pPr>
      <w:r w:rsidRPr="005C68FC">
        <w:rPr>
          <w:rFonts w:ascii="Times New Roman" w:hAnsi="Times New Roman" w:cs="Times New Roman"/>
          <w:sz w:val="20"/>
          <w:szCs w:val="20"/>
          <w:lang w:val="en-TT"/>
        </w:rPr>
        <w:t>Perform any other duties that the Council directs in writing.</w:t>
      </w:r>
      <w:r w:rsidRPr="005C68FC">
        <w:rPr>
          <w:rFonts w:ascii="Times New Roman" w:hAnsi="Times New Roman" w:cs="Times New Roman"/>
          <w:sz w:val="20"/>
          <w:szCs w:val="20"/>
          <w:lang w:val="en-US"/>
        </w:rPr>
        <w:t> </w:t>
      </w:r>
    </w:p>
    <w:p w14:paraId="0DB62D2F" w14:textId="77777777" w:rsidR="00876A1C" w:rsidRPr="005C68FC" w:rsidRDefault="00876A1C" w:rsidP="00C14D7E">
      <w:pPr>
        <w:rPr>
          <w:rFonts w:ascii="Times New Roman" w:hAnsi="Times New Roman" w:cs="Times New Roman"/>
          <w:sz w:val="20"/>
          <w:szCs w:val="20"/>
          <w:highlight w:val="green"/>
          <w:lang w:val="en-US"/>
        </w:rPr>
      </w:pPr>
    </w:p>
    <w:p w14:paraId="20F00EA3" w14:textId="77777777" w:rsidR="00876A1C" w:rsidRPr="005C68FC" w:rsidRDefault="00876A1C" w:rsidP="00C14D7E">
      <w:pPr>
        <w:tabs>
          <w:tab w:val="left" w:pos="8931"/>
        </w:tabs>
        <w:rPr>
          <w:rFonts w:ascii="Times New Roman" w:hAnsi="Times New Roman" w:cs="Times New Roman"/>
          <w:sz w:val="20"/>
          <w:szCs w:val="20"/>
          <w:lang w:val="en-US"/>
        </w:rPr>
      </w:pPr>
      <w:r w:rsidRPr="005C68FC">
        <w:rPr>
          <w:rFonts w:ascii="Times New Roman" w:hAnsi="Times New Roman" w:cs="Times New Roman"/>
          <w:sz w:val="20"/>
          <w:szCs w:val="20"/>
          <w:lang w:val="en-US"/>
        </w:rPr>
        <w:t xml:space="preserve">The functions listed above are without prejudice to the </w:t>
      </w:r>
      <w:r>
        <w:rPr>
          <w:rFonts w:ascii="Times New Roman" w:hAnsi="Times New Roman" w:cs="Times New Roman"/>
          <w:sz w:val="20"/>
          <w:szCs w:val="20"/>
          <w:lang w:val="en-US"/>
        </w:rPr>
        <w:t>[</w:t>
      </w:r>
      <w:r w:rsidRPr="005C68FC">
        <w:rPr>
          <w:rFonts w:ascii="Times New Roman" w:hAnsi="Times New Roman" w:cs="Times New Roman"/>
          <w:sz w:val="20"/>
          <w:szCs w:val="20"/>
          <w:lang w:val="en-US"/>
        </w:rPr>
        <w:t>Chief Inspector’s</w:t>
      </w:r>
      <w:r>
        <w:rPr>
          <w:rFonts w:ascii="Times New Roman" w:hAnsi="Times New Roman" w:cs="Times New Roman"/>
          <w:sz w:val="20"/>
          <w:szCs w:val="20"/>
          <w:lang w:val="en-US"/>
        </w:rPr>
        <w:t>]/[</w:t>
      </w:r>
      <w:r w:rsidRPr="005C68FC">
        <w:rPr>
          <w:rFonts w:ascii="Times New Roman" w:hAnsi="Times New Roman" w:cs="Times New Roman"/>
          <w:sz w:val="20"/>
          <w:szCs w:val="20"/>
          <w:lang w:val="en-US"/>
        </w:rPr>
        <w:t xml:space="preserve">Roster of </w:t>
      </w:r>
      <w:r>
        <w:rPr>
          <w:rFonts w:ascii="Times New Roman" w:hAnsi="Times New Roman" w:cs="Times New Roman"/>
          <w:sz w:val="20"/>
          <w:szCs w:val="20"/>
          <w:lang w:val="en-US"/>
        </w:rPr>
        <w:t>Inspectors’]</w:t>
      </w:r>
      <w:r w:rsidRPr="005C68FC">
        <w:rPr>
          <w:rFonts w:ascii="Times New Roman" w:hAnsi="Times New Roman" w:cs="Times New Roman"/>
          <w:sz w:val="20"/>
          <w:szCs w:val="20"/>
          <w:lang w:val="en-US"/>
        </w:rPr>
        <w:t xml:space="preserve"> competence to issue measure</w:t>
      </w:r>
      <w:r>
        <w:rPr>
          <w:rFonts w:ascii="Times New Roman" w:hAnsi="Times New Roman" w:cs="Times New Roman"/>
          <w:sz w:val="20"/>
          <w:szCs w:val="20"/>
          <w:lang w:val="en-US"/>
        </w:rPr>
        <w:t>s</w:t>
      </w:r>
      <w:r w:rsidRPr="005C68FC">
        <w:rPr>
          <w:rFonts w:ascii="Times New Roman" w:hAnsi="Times New Roman" w:cs="Times New Roman"/>
          <w:sz w:val="20"/>
          <w:szCs w:val="20"/>
          <w:lang w:val="en-US"/>
        </w:rPr>
        <w:t xml:space="preserve"> under the rules, regulations and procedures of the Authority.</w:t>
      </w:r>
    </w:p>
    <w:p w14:paraId="346E3D49" w14:textId="77777777" w:rsidR="00876A1C" w:rsidRPr="005C68FC" w:rsidRDefault="00876A1C" w:rsidP="00C14D7E">
      <w:pPr>
        <w:rPr>
          <w:rFonts w:ascii="Times New Roman" w:hAnsi="Times New Roman" w:cs="Times New Roman"/>
          <w:sz w:val="20"/>
          <w:szCs w:val="20"/>
          <w:lang w:val="en-US"/>
        </w:rPr>
      </w:pPr>
      <w:r w:rsidRPr="005C68FC">
        <w:rPr>
          <w:rFonts w:ascii="Times New Roman" w:hAnsi="Times New Roman" w:cs="Times New Roman"/>
          <w:noProof/>
          <w:sz w:val="20"/>
          <w:szCs w:val="20"/>
          <w:lang w:val="en-US"/>
        </w:rPr>
        <mc:AlternateContent>
          <mc:Choice Requires="wps">
            <w:drawing>
              <wp:anchor distT="45720" distB="45720" distL="114300" distR="114300" simplePos="0" relativeHeight="251662336" behindDoc="0" locked="0" layoutInCell="1" allowOverlap="1" wp14:anchorId="6B752ECD" wp14:editId="09916CCE">
                <wp:simplePos x="0" y="0"/>
                <wp:positionH relativeFrom="margin">
                  <wp:align>left</wp:align>
                </wp:positionH>
                <wp:positionV relativeFrom="paragraph">
                  <wp:posOffset>234315</wp:posOffset>
                </wp:positionV>
                <wp:extent cx="6113780" cy="1987550"/>
                <wp:effectExtent l="0" t="0" r="20320" b="12700"/>
                <wp:wrapSquare wrapText="bothSides"/>
                <wp:docPr id="134702357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1987827"/>
                        </a:xfrm>
                        <a:prstGeom prst="rect">
                          <a:avLst/>
                        </a:prstGeom>
                        <a:solidFill>
                          <a:srgbClr val="FFFFFF"/>
                        </a:solidFill>
                        <a:ln w="9525">
                          <a:solidFill>
                            <a:srgbClr val="000000"/>
                          </a:solidFill>
                          <a:miter lim="800000"/>
                          <a:headEnd/>
                          <a:tailEnd/>
                        </a:ln>
                      </wps:spPr>
                      <wps:txbx>
                        <w:txbxContent>
                          <w:p w14:paraId="0B0B819E" w14:textId="32D090A8" w:rsidR="00876A1C" w:rsidRPr="00EE1B73" w:rsidRDefault="00876A1C" w:rsidP="00C14D7E">
                            <w:pPr>
                              <w:rPr>
                                <w:rFonts w:ascii="Times New Roman" w:hAnsi="Times New Roman" w:cs="Times New Roman"/>
                                <w:sz w:val="20"/>
                                <w:szCs w:val="20"/>
                                <w:lang w:val="en-US"/>
                              </w:rPr>
                            </w:pPr>
                            <w:r w:rsidRPr="00EE1B73">
                              <w:rPr>
                                <w:rFonts w:ascii="Times New Roman" w:hAnsi="Times New Roman" w:cs="Times New Roman"/>
                                <w:sz w:val="20"/>
                                <w:szCs w:val="20"/>
                                <w:lang w:val="en-US"/>
                              </w:rPr>
                              <w:t>Comment</w:t>
                            </w:r>
                            <w:r w:rsidR="00871FB7">
                              <w:rPr>
                                <w:rFonts w:ascii="Times New Roman" w:hAnsi="Times New Roman" w:cs="Times New Roman"/>
                                <w:sz w:val="20"/>
                                <w:szCs w:val="20"/>
                                <w:lang w:val="en-US"/>
                              </w:rPr>
                              <w:t>s</w:t>
                            </w:r>
                            <w:r w:rsidRPr="00EE1B73">
                              <w:rPr>
                                <w:rFonts w:ascii="Times New Roman" w:hAnsi="Times New Roman" w:cs="Times New Roman"/>
                                <w:sz w:val="20"/>
                                <w:szCs w:val="20"/>
                                <w:lang w:val="en-US"/>
                              </w:rPr>
                              <w:t xml:space="preserve">: </w:t>
                            </w:r>
                          </w:p>
                          <w:p w14:paraId="537852EE" w14:textId="77777777" w:rsidR="00876A1C" w:rsidRDefault="00876A1C" w:rsidP="00C14D7E">
                            <w:pPr>
                              <w:pStyle w:val="Listeafsnit"/>
                              <w:numPr>
                                <w:ilvl w:val="0"/>
                                <w:numId w:val="9"/>
                              </w:numPr>
                              <w:rPr>
                                <w:rFonts w:ascii="Times New Roman" w:hAnsi="Times New Roman" w:cs="Times New Roman"/>
                                <w:sz w:val="20"/>
                                <w:szCs w:val="20"/>
                                <w:lang w:val="en-US"/>
                              </w:rPr>
                            </w:pPr>
                            <w:r w:rsidRPr="00B23EB3">
                              <w:rPr>
                                <w:rFonts w:ascii="Times New Roman" w:hAnsi="Times New Roman" w:cs="Times New Roman"/>
                                <w:sz w:val="20"/>
                                <w:szCs w:val="20"/>
                                <w:lang w:val="en-US"/>
                              </w:rPr>
                              <w:t xml:space="preserve">This listing of functions has been moved from draft regulation 102(2) in the revised consolidated text. The inclusion of this content was requested reinserted by several participants during the informal meeting in July 2025. It is now proposed that it is reintroduced but in the Compliance Strategy and to some extent in the decision. It is therefore placed here for further consideration. </w:t>
                            </w:r>
                          </w:p>
                          <w:p w14:paraId="4A1247B5" w14:textId="77777777" w:rsidR="00876A1C" w:rsidRDefault="00876A1C" w:rsidP="00C14D7E">
                            <w:pPr>
                              <w:pStyle w:val="Listeafsnit"/>
                              <w:numPr>
                                <w:ilvl w:val="0"/>
                                <w:numId w:val="9"/>
                              </w:numPr>
                              <w:rPr>
                                <w:rFonts w:ascii="Times New Roman" w:hAnsi="Times New Roman" w:cs="Times New Roman"/>
                                <w:sz w:val="20"/>
                                <w:szCs w:val="20"/>
                                <w:lang w:val="en-US"/>
                              </w:rPr>
                            </w:pPr>
                            <w:r w:rsidRPr="00B23EB3">
                              <w:rPr>
                                <w:rFonts w:ascii="Times New Roman" w:hAnsi="Times New Roman" w:cs="Times New Roman"/>
                                <w:sz w:val="20"/>
                                <w:szCs w:val="20"/>
                                <w:lang w:val="en-US"/>
                              </w:rPr>
                              <w:t>In relation to subpara a</w:t>
                            </w:r>
                            <w:r>
                              <w:rPr>
                                <w:rFonts w:ascii="Times New Roman" w:hAnsi="Times New Roman" w:cs="Times New Roman"/>
                                <w:sz w:val="20"/>
                                <w:szCs w:val="20"/>
                                <w:lang w:val="en-US"/>
                              </w:rPr>
                              <w:t>,</w:t>
                            </w:r>
                            <w:r w:rsidRPr="00B23EB3">
                              <w:rPr>
                                <w:rFonts w:ascii="Times New Roman" w:hAnsi="Times New Roman" w:cs="Times New Roman"/>
                                <w:sz w:val="20"/>
                                <w:szCs w:val="20"/>
                                <w:lang w:val="en-US"/>
                              </w:rPr>
                              <w:t xml:space="preserve"> it has been raised by a participant what this means in practice. </w:t>
                            </w:r>
                          </w:p>
                          <w:p w14:paraId="3A55BD07" w14:textId="77777777" w:rsidR="00876A1C" w:rsidRDefault="00876A1C" w:rsidP="00C14D7E">
                            <w:pPr>
                              <w:pStyle w:val="Listeafsnit"/>
                              <w:numPr>
                                <w:ilvl w:val="0"/>
                                <w:numId w:val="9"/>
                              </w:numPr>
                              <w:rPr>
                                <w:rFonts w:ascii="Times New Roman" w:hAnsi="Times New Roman" w:cs="Times New Roman"/>
                                <w:sz w:val="20"/>
                                <w:szCs w:val="20"/>
                                <w:lang w:val="en-US"/>
                              </w:rPr>
                            </w:pPr>
                            <w:r w:rsidRPr="00B23EB3">
                              <w:rPr>
                                <w:rFonts w:ascii="Times New Roman" w:hAnsi="Times New Roman" w:cs="Times New Roman"/>
                                <w:sz w:val="20"/>
                                <w:szCs w:val="20"/>
                                <w:lang w:val="en-US"/>
                              </w:rPr>
                              <w:t xml:space="preserve">A participant is also making reservations in relation to subpara c as it is not clear whether this would entail that the Committee gets to appoint which inspector will conduct a particular inspection. </w:t>
                            </w:r>
                          </w:p>
                          <w:p w14:paraId="064179F5" w14:textId="77777777" w:rsidR="00876A1C" w:rsidRPr="00B23EB3" w:rsidRDefault="00876A1C" w:rsidP="00C14D7E">
                            <w:pPr>
                              <w:pStyle w:val="Listeafsnit"/>
                              <w:numPr>
                                <w:ilvl w:val="0"/>
                                <w:numId w:val="9"/>
                              </w:numPr>
                              <w:rPr>
                                <w:rFonts w:ascii="Times New Roman" w:hAnsi="Times New Roman" w:cs="Times New Roman"/>
                                <w:sz w:val="20"/>
                                <w:szCs w:val="20"/>
                                <w:lang w:val="en-US"/>
                              </w:rPr>
                            </w:pPr>
                            <w:r>
                              <w:rPr>
                                <w:rFonts w:ascii="Times New Roman" w:hAnsi="Times New Roman" w:cs="Times New Roman"/>
                                <w:sz w:val="20"/>
                                <w:szCs w:val="20"/>
                                <w:lang w:val="en-US"/>
                              </w:rPr>
                              <w:t xml:space="preserve">It has been raised by a participant whether it would be necessary to prepare a document regulating the relationship between the Committee and the Roster of Inspectors. </w:t>
                            </w:r>
                          </w:p>
                          <w:p w14:paraId="18F05943" w14:textId="77777777" w:rsidR="00876A1C" w:rsidRPr="00B57984" w:rsidRDefault="00876A1C" w:rsidP="00C14D7E">
                            <w:pPr>
                              <w:rPr>
                                <w:rFonts w:ascii="Times New Roman" w:hAnsi="Times New Roman" w:cs="Times New Roman"/>
                                <w:sz w:val="20"/>
                                <w:szCs w:val="20"/>
                                <w:lang w:val="en-US"/>
                              </w:rPr>
                            </w:pPr>
                          </w:p>
                          <w:p w14:paraId="579D2E17" w14:textId="77777777" w:rsidR="00876A1C" w:rsidRPr="00737A3A" w:rsidRDefault="00876A1C" w:rsidP="00C14D7E">
                            <w:pPr>
                              <w:rPr>
                                <w:rFonts w:ascii="Times New Roman" w:hAnsi="Times New Roman" w:cs="Times New Roman"/>
                                <w:sz w:val="20"/>
                                <w:szCs w:val="20"/>
                                <w:lang w:val="en-J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52ECD" id="_x0000_s1030" type="#_x0000_t202" style="position:absolute;margin-left:0;margin-top:18.45pt;width:481.4pt;height:15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">
                <v:textbox>
                  <w:txbxContent>
                    <w:p w14:paraId="0B0B819E" w14:textId="32D090A8" w:rsidR="00876A1C" w:rsidRPr="00EE1B73" w:rsidRDefault="00876A1C" w:rsidP="00C14D7E">
                      <w:pPr>
                        <w:rPr>
                          <w:rFonts w:ascii="Times New Roman" w:hAnsi="Times New Roman" w:cs="Times New Roman"/>
                          <w:sz w:val="20"/>
                          <w:szCs w:val="20"/>
                          <w:lang w:val="en-US"/>
                        </w:rPr>
                      </w:pPr>
                      <w:r w:rsidRPr="00EE1B73">
                        <w:rPr>
                          <w:rFonts w:ascii="Times New Roman" w:hAnsi="Times New Roman" w:cs="Times New Roman"/>
                          <w:sz w:val="20"/>
                          <w:szCs w:val="20"/>
                          <w:lang w:val="en-US"/>
                        </w:rPr>
                        <w:t>Comment</w:t>
                      </w:r>
                      <w:r w:rsidR="00871FB7">
                        <w:rPr>
                          <w:rFonts w:ascii="Times New Roman" w:hAnsi="Times New Roman" w:cs="Times New Roman"/>
                          <w:sz w:val="20"/>
                          <w:szCs w:val="20"/>
                          <w:lang w:val="en-US"/>
                        </w:rPr>
                        <w:t>s</w:t>
                      </w:r>
                      <w:r w:rsidRPr="00EE1B73">
                        <w:rPr>
                          <w:rFonts w:ascii="Times New Roman" w:hAnsi="Times New Roman" w:cs="Times New Roman"/>
                          <w:sz w:val="20"/>
                          <w:szCs w:val="20"/>
                          <w:lang w:val="en-US"/>
                        </w:rPr>
                        <w:t xml:space="preserve">: </w:t>
                      </w:r>
                    </w:p>
                    <w:p w14:paraId="537852EE" w14:textId="77777777" w:rsidR="00876A1C" w:rsidRDefault="00876A1C" w:rsidP="00C14D7E">
                      <w:pPr>
                        <w:pStyle w:val="Listeafsnit"/>
                        <w:numPr>
                          <w:ilvl w:val="0"/>
                          <w:numId w:val="9"/>
                        </w:numPr>
                        <w:rPr>
                          <w:rFonts w:ascii="Times New Roman" w:hAnsi="Times New Roman" w:cs="Times New Roman"/>
                          <w:sz w:val="20"/>
                          <w:szCs w:val="20"/>
                          <w:lang w:val="en-US"/>
                        </w:rPr>
                      </w:pPr>
                      <w:r w:rsidRPr="00B23EB3">
                        <w:rPr>
                          <w:rFonts w:ascii="Times New Roman" w:hAnsi="Times New Roman" w:cs="Times New Roman"/>
                          <w:sz w:val="20"/>
                          <w:szCs w:val="20"/>
                          <w:lang w:val="en-US"/>
                        </w:rPr>
                        <w:t xml:space="preserve">This listing of functions has been moved from draft regulation 102(2) in the revised consolidated text. The inclusion of this content was requested reinserted by several participants during the informal meeting in July 2025. It is now proposed that it is reintroduced but in the Compliance Strategy and to some extent in the decision. It is therefore placed here for further consideration. </w:t>
                      </w:r>
                    </w:p>
                    <w:p w14:paraId="4A1247B5" w14:textId="77777777" w:rsidR="00876A1C" w:rsidRDefault="00876A1C" w:rsidP="00C14D7E">
                      <w:pPr>
                        <w:pStyle w:val="Listeafsnit"/>
                        <w:numPr>
                          <w:ilvl w:val="0"/>
                          <w:numId w:val="9"/>
                        </w:numPr>
                        <w:rPr>
                          <w:rFonts w:ascii="Times New Roman" w:hAnsi="Times New Roman" w:cs="Times New Roman"/>
                          <w:sz w:val="20"/>
                          <w:szCs w:val="20"/>
                          <w:lang w:val="en-US"/>
                        </w:rPr>
                      </w:pPr>
                      <w:r w:rsidRPr="00B23EB3">
                        <w:rPr>
                          <w:rFonts w:ascii="Times New Roman" w:hAnsi="Times New Roman" w:cs="Times New Roman"/>
                          <w:sz w:val="20"/>
                          <w:szCs w:val="20"/>
                          <w:lang w:val="en-US"/>
                        </w:rPr>
                        <w:t>In relation to subpara a</w:t>
                      </w:r>
                      <w:r>
                        <w:rPr>
                          <w:rFonts w:ascii="Times New Roman" w:hAnsi="Times New Roman" w:cs="Times New Roman"/>
                          <w:sz w:val="20"/>
                          <w:szCs w:val="20"/>
                          <w:lang w:val="en-US"/>
                        </w:rPr>
                        <w:t>,</w:t>
                      </w:r>
                      <w:r w:rsidRPr="00B23EB3">
                        <w:rPr>
                          <w:rFonts w:ascii="Times New Roman" w:hAnsi="Times New Roman" w:cs="Times New Roman"/>
                          <w:sz w:val="20"/>
                          <w:szCs w:val="20"/>
                          <w:lang w:val="en-US"/>
                        </w:rPr>
                        <w:t xml:space="preserve"> it has been raised by a participant what this means in practice. </w:t>
                      </w:r>
                    </w:p>
                    <w:p w14:paraId="3A55BD07" w14:textId="77777777" w:rsidR="00876A1C" w:rsidRDefault="00876A1C" w:rsidP="00C14D7E">
                      <w:pPr>
                        <w:pStyle w:val="Listeafsnit"/>
                        <w:numPr>
                          <w:ilvl w:val="0"/>
                          <w:numId w:val="9"/>
                        </w:numPr>
                        <w:rPr>
                          <w:rFonts w:ascii="Times New Roman" w:hAnsi="Times New Roman" w:cs="Times New Roman"/>
                          <w:sz w:val="20"/>
                          <w:szCs w:val="20"/>
                          <w:lang w:val="en-US"/>
                        </w:rPr>
                      </w:pPr>
                      <w:r w:rsidRPr="00B23EB3">
                        <w:rPr>
                          <w:rFonts w:ascii="Times New Roman" w:hAnsi="Times New Roman" w:cs="Times New Roman"/>
                          <w:sz w:val="20"/>
                          <w:szCs w:val="20"/>
                          <w:lang w:val="en-US"/>
                        </w:rPr>
                        <w:t xml:space="preserve">A participant is also making reservations in relation to subpara c as it is not clear whether this would entail that the Committee gets to appoint which inspector will conduct a particular inspection. </w:t>
                      </w:r>
                    </w:p>
                    <w:p w14:paraId="064179F5" w14:textId="77777777" w:rsidR="00876A1C" w:rsidRPr="00B23EB3" w:rsidRDefault="00876A1C" w:rsidP="00C14D7E">
                      <w:pPr>
                        <w:pStyle w:val="Listeafsnit"/>
                        <w:numPr>
                          <w:ilvl w:val="0"/>
                          <w:numId w:val="9"/>
                        </w:numPr>
                        <w:rPr>
                          <w:rFonts w:ascii="Times New Roman" w:hAnsi="Times New Roman" w:cs="Times New Roman"/>
                          <w:sz w:val="20"/>
                          <w:szCs w:val="20"/>
                          <w:lang w:val="en-US"/>
                        </w:rPr>
                      </w:pPr>
                      <w:r>
                        <w:rPr>
                          <w:rFonts w:ascii="Times New Roman" w:hAnsi="Times New Roman" w:cs="Times New Roman"/>
                          <w:sz w:val="20"/>
                          <w:szCs w:val="20"/>
                          <w:lang w:val="en-US"/>
                        </w:rPr>
                        <w:t xml:space="preserve">It has been raised by a participant whether it would be necessary to prepare a document regulating the relationship between the Committee and the Roster of Inspectors. </w:t>
                      </w:r>
                    </w:p>
                    <w:p w14:paraId="18F05943" w14:textId="77777777" w:rsidR="00876A1C" w:rsidRPr="00B57984" w:rsidRDefault="00876A1C" w:rsidP="00C14D7E">
                      <w:pPr>
                        <w:rPr>
                          <w:rFonts w:ascii="Times New Roman" w:hAnsi="Times New Roman" w:cs="Times New Roman"/>
                          <w:sz w:val="20"/>
                          <w:szCs w:val="20"/>
                          <w:lang w:val="en-US"/>
                        </w:rPr>
                      </w:pPr>
                    </w:p>
                    <w:p w14:paraId="579D2E17" w14:textId="77777777" w:rsidR="00876A1C" w:rsidRPr="00737A3A" w:rsidRDefault="00876A1C" w:rsidP="00C14D7E">
                      <w:pPr>
                        <w:rPr>
                          <w:rFonts w:ascii="Times New Roman" w:hAnsi="Times New Roman" w:cs="Times New Roman"/>
                          <w:sz w:val="20"/>
                          <w:szCs w:val="20"/>
                          <w:lang w:val="en-JM"/>
                        </w:rPr>
                      </w:pPr>
                    </w:p>
                  </w:txbxContent>
                </v:textbox>
                <w10:wrap type="square" anchorx="margin"/>
              </v:shape>
            </w:pict>
          </mc:Fallback>
        </mc:AlternateContent>
      </w:r>
    </w:p>
    <w:p w14:paraId="0431EA99" w14:textId="77777777" w:rsidR="00876A1C" w:rsidRDefault="00876A1C" w:rsidP="00C14D7E">
      <w:pPr>
        <w:rPr>
          <w:rFonts w:ascii="Times New Roman" w:hAnsi="Times New Roman" w:cs="Times New Roman"/>
          <w:b/>
          <w:bCs/>
          <w:sz w:val="20"/>
          <w:szCs w:val="20"/>
          <w:lang w:val="en-US"/>
        </w:rPr>
      </w:pPr>
    </w:p>
    <w:p w14:paraId="0A01913A" w14:textId="77777777" w:rsidR="00876A1C" w:rsidRPr="005C68FC" w:rsidRDefault="00876A1C" w:rsidP="00C14D7E">
      <w:pPr>
        <w:rPr>
          <w:rFonts w:ascii="Times New Roman" w:hAnsi="Times New Roman" w:cs="Times New Roman"/>
          <w:sz w:val="20"/>
          <w:szCs w:val="20"/>
          <w:lang w:val="en-US"/>
        </w:rPr>
      </w:pPr>
      <w:r w:rsidRPr="00A1308E">
        <w:rPr>
          <w:rFonts w:ascii="Times New Roman" w:hAnsi="Times New Roman" w:cs="Times New Roman"/>
          <w:b/>
          <w:bCs/>
          <w:sz w:val="20"/>
          <w:szCs w:val="20"/>
          <w:lang w:val="en-US"/>
        </w:rPr>
        <w:t>Alternative</w:t>
      </w:r>
      <w:r w:rsidRPr="005C68FC">
        <w:rPr>
          <w:rFonts w:ascii="Times New Roman" w:hAnsi="Times New Roman" w:cs="Times New Roman"/>
          <w:sz w:val="20"/>
          <w:szCs w:val="20"/>
          <w:lang w:val="en-US"/>
        </w:rPr>
        <w:t xml:space="preserve">: </w:t>
      </w:r>
    </w:p>
    <w:p w14:paraId="792D26E6" w14:textId="77777777" w:rsidR="00876A1C" w:rsidRPr="005C68FC" w:rsidRDefault="00876A1C" w:rsidP="00C14D7E">
      <w:pPr>
        <w:rPr>
          <w:rFonts w:ascii="Times New Roman" w:hAnsi="Times New Roman" w:cs="Times New Roman"/>
          <w:sz w:val="20"/>
          <w:szCs w:val="20"/>
          <w:lang w:val="en-GB"/>
        </w:rPr>
      </w:pPr>
      <w:r w:rsidRPr="005C68FC">
        <w:rPr>
          <w:rFonts w:ascii="Times New Roman" w:hAnsi="Times New Roman" w:cs="Times New Roman"/>
          <w:sz w:val="20"/>
          <w:szCs w:val="20"/>
          <w:lang w:val="en-GB"/>
        </w:rPr>
        <w:t>Without prejudice to the powers and functions conferred upon another organ of the Authority, in particular the mandate of the Commission as contained in Article 165 (2) of the Convention, and subject to Regulation 102 (5) of the Regulations, the Committee shall:</w:t>
      </w:r>
    </w:p>
    <w:p w14:paraId="543A34AC" w14:textId="77777777" w:rsidR="00876A1C" w:rsidRPr="005C68FC" w:rsidRDefault="00876A1C" w:rsidP="00C14D7E">
      <w:pPr>
        <w:pStyle w:val="Listeafsnit"/>
        <w:numPr>
          <w:ilvl w:val="0"/>
          <w:numId w:val="5"/>
        </w:numPr>
        <w:rPr>
          <w:rFonts w:ascii="Times New Roman" w:hAnsi="Times New Roman" w:cs="Times New Roman"/>
          <w:sz w:val="20"/>
          <w:szCs w:val="20"/>
          <w:lang w:val="en-GB"/>
        </w:rPr>
      </w:pPr>
      <w:r w:rsidRPr="005C68FC">
        <w:rPr>
          <w:rFonts w:ascii="Times New Roman" w:hAnsi="Times New Roman" w:cs="Times New Roman"/>
          <w:sz w:val="20"/>
          <w:szCs w:val="20"/>
          <w:lang w:val="en-GB"/>
        </w:rPr>
        <w:t xml:space="preserve">submit to the Council, for its consideration, an annual report on the functioning of the Authority’s inspection, compliance and enforcement mechanisms, in consultation with the Commission and, where appropriate, with other subsidiary organs of the Council; </w:t>
      </w:r>
    </w:p>
    <w:p w14:paraId="580392B5" w14:textId="77777777" w:rsidR="00876A1C" w:rsidRPr="005C68FC" w:rsidRDefault="00876A1C" w:rsidP="00C14D7E">
      <w:pPr>
        <w:pStyle w:val="Listeafsnit"/>
        <w:numPr>
          <w:ilvl w:val="0"/>
          <w:numId w:val="5"/>
        </w:numPr>
        <w:rPr>
          <w:rFonts w:ascii="Times New Roman" w:hAnsi="Times New Roman" w:cs="Times New Roman"/>
          <w:sz w:val="20"/>
          <w:szCs w:val="20"/>
          <w:lang w:val="en-GB"/>
        </w:rPr>
      </w:pPr>
      <w:r w:rsidRPr="005C68FC">
        <w:rPr>
          <w:rFonts w:ascii="Times New Roman" w:hAnsi="Times New Roman" w:cs="Times New Roman"/>
          <w:sz w:val="20"/>
          <w:szCs w:val="20"/>
          <w:lang w:val="en-GB"/>
        </w:rPr>
        <w:t>make recommendations to the Council on general policies and matters, and the Authority’s relevant rules, regulations and procedures, in relation to the Authority’s work concerning inspection, compliance and enforcement;</w:t>
      </w:r>
    </w:p>
    <w:p w14:paraId="1C201CFF" w14:textId="77777777" w:rsidR="00876A1C" w:rsidRPr="005C68FC" w:rsidRDefault="00876A1C" w:rsidP="00C14D7E">
      <w:pPr>
        <w:pStyle w:val="Listeafsnit"/>
        <w:numPr>
          <w:ilvl w:val="0"/>
          <w:numId w:val="5"/>
        </w:numPr>
        <w:rPr>
          <w:rFonts w:ascii="Times New Roman" w:hAnsi="Times New Roman" w:cs="Times New Roman"/>
          <w:sz w:val="20"/>
          <w:szCs w:val="20"/>
          <w:lang w:val="en-GB"/>
        </w:rPr>
      </w:pPr>
      <w:r w:rsidRPr="005C68FC">
        <w:rPr>
          <w:rFonts w:ascii="Times New Roman" w:hAnsi="Times New Roman" w:cs="Times New Roman"/>
          <w:sz w:val="20"/>
          <w:szCs w:val="20"/>
          <w:lang w:val="en-GB"/>
        </w:rPr>
        <w:t xml:space="preserve">make recommendations to the Council, </w:t>
      </w:r>
      <w:bookmarkStart w:id="0" w:name="OLE_LINK1"/>
      <w:r w:rsidRPr="005C68FC">
        <w:rPr>
          <w:rFonts w:ascii="Times New Roman" w:hAnsi="Times New Roman" w:cs="Times New Roman"/>
          <w:sz w:val="20"/>
          <w:szCs w:val="20"/>
          <w:lang w:val="en-GB"/>
        </w:rPr>
        <w:t>upon request by</w:t>
      </w:r>
      <w:bookmarkEnd w:id="0"/>
      <w:r w:rsidRPr="005C68FC">
        <w:rPr>
          <w:rFonts w:ascii="Times New Roman" w:hAnsi="Times New Roman" w:cs="Times New Roman"/>
          <w:sz w:val="20"/>
          <w:szCs w:val="20"/>
          <w:lang w:val="en-GB"/>
        </w:rPr>
        <w:t xml:space="preserve"> the Council, on the procedures or measures to be taken, in cases where reasonable evidence indicates that a Contractor </w:t>
      </w:r>
      <w:r>
        <w:rPr>
          <w:rFonts w:ascii="Times New Roman" w:hAnsi="Times New Roman" w:cs="Times New Roman"/>
          <w:sz w:val="20"/>
          <w:szCs w:val="20"/>
          <w:lang w:val="en-GB"/>
        </w:rPr>
        <w:t>[</w:t>
      </w:r>
      <w:r w:rsidRPr="005C68FC">
        <w:rPr>
          <w:rFonts w:ascii="Times New Roman" w:hAnsi="Times New Roman" w:cs="Times New Roman"/>
          <w:sz w:val="20"/>
          <w:szCs w:val="20"/>
          <w:lang w:val="en-GB"/>
        </w:rPr>
        <w:t>or the Enterprise</w:t>
      </w:r>
      <w:r>
        <w:rPr>
          <w:rFonts w:ascii="Times New Roman" w:hAnsi="Times New Roman" w:cs="Times New Roman"/>
          <w:sz w:val="20"/>
          <w:szCs w:val="20"/>
          <w:lang w:val="en-GB"/>
        </w:rPr>
        <w:t>]</w:t>
      </w:r>
      <w:r w:rsidRPr="005C68FC">
        <w:rPr>
          <w:rFonts w:ascii="Times New Roman" w:hAnsi="Times New Roman" w:cs="Times New Roman"/>
          <w:sz w:val="20"/>
          <w:szCs w:val="20"/>
          <w:lang w:val="en-GB"/>
        </w:rPr>
        <w:t xml:space="preserve"> does not comply with the provisions of Part XI of the Convention, the rules, regulations and procedures of the Authority, and the terms and conditions of any contract with the Authority;</w:t>
      </w:r>
    </w:p>
    <w:p w14:paraId="1705240D" w14:textId="77777777" w:rsidR="00876A1C" w:rsidRPr="005C68FC" w:rsidRDefault="00876A1C" w:rsidP="00C14D7E">
      <w:pPr>
        <w:pStyle w:val="Listeafsnit"/>
        <w:numPr>
          <w:ilvl w:val="0"/>
          <w:numId w:val="5"/>
        </w:numPr>
        <w:rPr>
          <w:rFonts w:ascii="Times New Roman" w:hAnsi="Times New Roman" w:cs="Times New Roman"/>
          <w:sz w:val="20"/>
          <w:szCs w:val="20"/>
          <w:lang w:val="en-GB"/>
        </w:rPr>
      </w:pPr>
      <w:r w:rsidRPr="005C68FC">
        <w:rPr>
          <w:rFonts w:ascii="Times New Roman" w:hAnsi="Times New Roman" w:cs="Times New Roman"/>
          <w:sz w:val="20"/>
          <w:szCs w:val="20"/>
          <w:lang w:val="en-GB"/>
        </w:rPr>
        <w:lastRenderedPageBreak/>
        <w:t>receive and review reports of the Chief Inspector concerning compliance with respect to activities in the Area, and make recommendations to the Council on whether and what procedures or measures should be taken;</w:t>
      </w:r>
    </w:p>
    <w:p w14:paraId="3B44D027" w14:textId="77777777" w:rsidR="00876A1C" w:rsidRPr="005C68FC" w:rsidRDefault="00876A1C" w:rsidP="00C14D7E">
      <w:pPr>
        <w:pStyle w:val="Listeafsnit"/>
        <w:numPr>
          <w:ilvl w:val="0"/>
          <w:numId w:val="5"/>
        </w:numPr>
        <w:rPr>
          <w:rFonts w:ascii="Times New Roman" w:hAnsi="Times New Roman" w:cs="Times New Roman"/>
          <w:sz w:val="20"/>
          <w:szCs w:val="20"/>
          <w:lang w:val="en-GB"/>
        </w:rPr>
      </w:pPr>
      <w:r w:rsidRPr="005C68FC">
        <w:rPr>
          <w:rFonts w:ascii="Times New Roman" w:hAnsi="Times New Roman" w:cs="Times New Roman"/>
          <w:sz w:val="20"/>
          <w:szCs w:val="20"/>
          <w:lang w:val="en-GB"/>
        </w:rPr>
        <w:t>develop a code of conduct for the Committee and its members, and submit it to the Council for consideration;</w:t>
      </w:r>
    </w:p>
    <w:p w14:paraId="59F2424E" w14:textId="77777777" w:rsidR="00876A1C" w:rsidRPr="005C68FC" w:rsidRDefault="00876A1C" w:rsidP="00C14D7E">
      <w:pPr>
        <w:pStyle w:val="Listeafsnit"/>
        <w:numPr>
          <w:ilvl w:val="0"/>
          <w:numId w:val="5"/>
        </w:numPr>
        <w:rPr>
          <w:rFonts w:ascii="Times New Roman" w:hAnsi="Times New Roman" w:cs="Times New Roman"/>
          <w:sz w:val="20"/>
          <w:szCs w:val="20"/>
          <w:lang w:val="en-GB"/>
        </w:rPr>
      </w:pPr>
      <w:r w:rsidRPr="005C68FC">
        <w:rPr>
          <w:rFonts w:ascii="Times New Roman" w:hAnsi="Times New Roman" w:cs="Times New Roman"/>
          <w:noProof/>
          <w:sz w:val="20"/>
          <w:szCs w:val="20"/>
          <w:lang w:val="en-US"/>
        </w:rPr>
        <mc:AlternateContent>
          <mc:Choice Requires="wps">
            <w:drawing>
              <wp:anchor distT="45720" distB="45720" distL="114300" distR="114300" simplePos="0" relativeHeight="251663360" behindDoc="0" locked="0" layoutInCell="1" allowOverlap="1" wp14:anchorId="2B07D7E7" wp14:editId="66F2942E">
                <wp:simplePos x="0" y="0"/>
                <wp:positionH relativeFrom="margin">
                  <wp:align>right</wp:align>
                </wp:positionH>
                <wp:positionV relativeFrom="paragraph">
                  <wp:posOffset>795655</wp:posOffset>
                </wp:positionV>
                <wp:extent cx="6086475" cy="1404620"/>
                <wp:effectExtent l="0" t="0" r="28575" b="14605"/>
                <wp:wrapSquare wrapText="bothSides"/>
                <wp:docPr id="62887936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43FDFE86" w14:textId="1F7A530B" w:rsidR="00876A1C" w:rsidRPr="00896407" w:rsidRDefault="00876A1C" w:rsidP="00C14D7E">
                            <w:pPr>
                              <w:rPr>
                                <w:rFonts w:ascii="Times New Roman" w:hAnsi="Times New Roman" w:cs="Times New Roman"/>
                                <w:sz w:val="20"/>
                                <w:szCs w:val="20"/>
                                <w:lang w:val="en-US"/>
                              </w:rPr>
                            </w:pPr>
                            <w:r w:rsidRPr="00896407">
                              <w:rPr>
                                <w:rFonts w:ascii="Times New Roman" w:hAnsi="Times New Roman" w:cs="Times New Roman"/>
                                <w:sz w:val="20"/>
                                <w:szCs w:val="20"/>
                                <w:lang w:val="en-US"/>
                              </w:rPr>
                              <w:t>Comment</w:t>
                            </w:r>
                            <w:r w:rsidR="00871FB7">
                              <w:rPr>
                                <w:rFonts w:ascii="Times New Roman" w:hAnsi="Times New Roman" w:cs="Times New Roman"/>
                                <w:sz w:val="20"/>
                                <w:szCs w:val="20"/>
                                <w:lang w:val="en-US"/>
                              </w:rPr>
                              <w:t>s</w:t>
                            </w:r>
                            <w:r w:rsidRPr="00896407">
                              <w:rPr>
                                <w:rFonts w:ascii="Times New Roman" w:hAnsi="Times New Roman" w:cs="Times New Roman"/>
                                <w:sz w:val="20"/>
                                <w:szCs w:val="20"/>
                                <w:lang w:val="en-US"/>
                              </w:rPr>
                              <w:t xml:space="preserve">: </w:t>
                            </w:r>
                          </w:p>
                          <w:p w14:paraId="021A302D" w14:textId="77777777" w:rsidR="00876A1C" w:rsidRDefault="00876A1C" w:rsidP="00C14D7E">
                            <w:pPr>
                              <w:pStyle w:val="Listeafsnit"/>
                              <w:numPr>
                                <w:ilvl w:val="0"/>
                                <w:numId w:val="10"/>
                              </w:numPr>
                              <w:rPr>
                                <w:rFonts w:ascii="Times New Roman" w:hAnsi="Times New Roman" w:cs="Times New Roman"/>
                                <w:sz w:val="20"/>
                                <w:szCs w:val="20"/>
                                <w:lang w:val="en-US"/>
                              </w:rPr>
                            </w:pPr>
                            <w:r w:rsidRPr="00E8002C">
                              <w:rPr>
                                <w:rFonts w:ascii="Times New Roman" w:hAnsi="Times New Roman" w:cs="Times New Roman"/>
                                <w:sz w:val="20"/>
                                <w:szCs w:val="20"/>
                                <w:lang w:val="en-US"/>
                              </w:rPr>
                              <w:t xml:space="preserve">An alternative wording in respect of the functions has been provided to the facilitator of the group in writing after the informal meeting in July 2025. </w:t>
                            </w:r>
                          </w:p>
                          <w:p w14:paraId="41B6EB7D" w14:textId="77777777" w:rsidR="00876A1C" w:rsidRPr="00E8002C" w:rsidRDefault="00876A1C" w:rsidP="00C14D7E">
                            <w:pPr>
                              <w:pStyle w:val="Listeafsnit"/>
                              <w:numPr>
                                <w:ilvl w:val="0"/>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A reservation has been made by a participant in relation to subparas c and d, as it is considered that the Committee also should be able to take certain less invasive measures on its own, whilst this draft assumes it can only recommend measures to the Council.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7D7E7" id="_x0000_s1031" type="#_x0000_t202" style="position:absolute;left:0;text-align:left;margin-left:428.05pt;margin-top:62.65pt;width:47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ShFg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">
                <v:textbox style="mso-fit-shape-to-text:t">
                  <w:txbxContent>
                    <w:p w14:paraId="43FDFE86" w14:textId="1F7A530B" w:rsidR="00876A1C" w:rsidRPr="00896407" w:rsidRDefault="00876A1C" w:rsidP="00C14D7E">
                      <w:pPr>
                        <w:rPr>
                          <w:rFonts w:ascii="Times New Roman" w:hAnsi="Times New Roman" w:cs="Times New Roman"/>
                          <w:sz w:val="20"/>
                          <w:szCs w:val="20"/>
                          <w:lang w:val="en-US"/>
                        </w:rPr>
                      </w:pPr>
                      <w:r w:rsidRPr="00896407">
                        <w:rPr>
                          <w:rFonts w:ascii="Times New Roman" w:hAnsi="Times New Roman" w:cs="Times New Roman"/>
                          <w:sz w:val="20"/>
                          <w:szCs w:val="20"/>
                          <w:lang w:val="en-US"/>
                        </w:rPr>
                        <w:t>Comment</w:t>
                      </w:r>
                      <w:r w:rsidR="00871FB7">
                        <w:rPr>
                          <w:rFonts w:ascii="Times New Roman" w:hAnsi="Times New Roman" w:cs="Times New Roman"/>
                          <w:sz w:val="20"/>
                          <w:szCs w:val="20"/>
                          <w:lang w:val="en-US"/>
                        </w:rPr>
                        <w:t>s</w:t>
                      </w:r>
                      <w:r w:rsidRPr="00896407">
                        <w:rPr>
                          <w:rFonts w:ascii="Times New Roman" w:hAnsi="Times New Roman" w:cs="Times New Roman"/>
                          <w:sz w:val="20"/>
                          <w:szCs w:val="20"/>
                          <w:lang w:val="en-US"/>
                        </w:rPr>
                        <w:t xml:space="preserve">: </w:t>
                      </w:r>
                    </w:p>
                    <w:p w14:paraId="021A302D" w14:textId="77777777" w:rsidR="00876A1C" w:rsidRDefault="00876A1C" w:rsidP="00C14D7E">
                      <w:pPr>
                        <w:pStyle w:val="Listeafsnit"/>
                        <w:numPr>
                          <w:ilvl w:val="0"/>
                          <w:numId w:val="10"/>
                        </w:numPr>
                        <w:rPr>
                          <w:rFonts w:ascii="Times New Roman" w:hAnsi="Times New Roman" w:cs="Times New Roman"/>
                          <w:sz w:val="20"/>
                          <w:szCs w:val="20"/>
                          <w:lang w:val="en-US"/>
                        </w:rPr>
                      </w:pPr>
                      <w:r w:rsidRPr="00E8002C">
                        <w:rPr>
                          <w:rFonts w:ascii="Times New Roman" w:hAnsi="Times New Roman" w:cs="Times New Roman"/>
                          <w:sz w:val="20"/>
                          <w:szCs w:val="20"/>
                          <w:lang w:val="en-US"/>
                        </w:rPr>
                        <w:t xml:space="preserve">An alternative wording in respect of the functions has been provided to the facilitator of the group in writing after the informal meeting in July 2025. </w:t>
                      </w:r>
                    </w:p>
                    <w:p w14:paraId="41B6EB7D" w14:textId="77777777" w:rsidR="00876A1C" w:rsidRPr="00E8002C" w:rsidRDefault="00876A1C" w:rsidP="00C14D7E">
                      <w:pPr>
                        <w:pStyle w:val="Listeafsnit"/>
                        <w:numPr>
                          <w:ilvl w:val="0"/>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A reservation has been made by a participant in relation to subparas c and d, as it is considered that the Committee also should be able to take certain less invasive measures on its own, whilst this draft assumes it can only recommend measures to the Council. </w:t>
                      </w:r>
                    </w:p>
                  </w:txbxContent>
                </v:textbox>
                <w10:wrap type="square" anchorx="margin"/>
              </v:shape>
            </w:pict>
          </mc:Fallback>
        </mc:AlternateContent>
      </w:r>
      <w:r w:rsidRPr="005C68FC">
        <w:rPr>
          <w:rFonts w:ascii="Times New Roman" w:hAnsi="Times New Roman" w:cs="Times New Roman"/>
          <w:sz w:val="20"/>
          <w:szCs w:val="20"/>
          <w:lang w:val="en-GB"/>
        </w:rPr>
        <w:t>report periodically to the Commission on the work of inspectors, with the aim to facilitate the Commission to make recommendations, pursuant to Article 165 (2) (m) of the Convention, to the Council regarding the direction and supervision of a staff of inspectors.</w:t>
      </w:r>
    </w:p>
    <w:p w14:paraId="3DE697E2" w14:textId="77777777" w:rsidR="00876A1C" w:rsidRDefault="00876A1C" w:rsidP="00C14D7E">
      <w:pPr>
        <w:rPr>
          <w:rFonts w:ascii="Times New Roman" w:hAnsi="Times New Roman" w:cs="Times New Roman"/>
          <w:sz w:val="20"/>
          <w:szCs w:val="20"/>
          <w:lang w:val="en-GB"/>
        </w:rPr>
      </w:pPr>
    </w:p>
    <w:p w14:paraId="525D8202" w14:textId="77777777" w:rsidR="00876A1C" w:rsidRPr="005C68FC" w:rsidRDefault="00876A1C" w:rsidP="00C14D7E">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 </w:t>
      </w:r>
      <w:r w:rsidRPr="005C68FC">
        <w:rPr>
          <w:rFonts w:ascii="Times New Roman" w:hAnsi="Times New Roman" w:cs="Times New Roman"/>
          <w:b/>
          <w:bCs/>
          <w:sz w:val="20"/>
          <w:szCs w:val="20"/>
          <w:lang w:val="en-US"/>
        </w:rPr>
        <w:t xml:space="preserve">Investigation and Complaints </w:t>
      </w:r>
    </w:p>
    <w:p w14:paraId="68515673" w14:textId="77777777" w:rsidR="00876A1C" w:rsidRPr="005C68FC" w:rsidRDefault="00876A1C" w:rsidP="00C14D7E">
      <w:pPr>
        <w:rPr>
          <w:rFonts w:ascii="Times New Roman" w:hAnsi="Times New Roman" w:cs="Times New Roman"/>
          <w:sz w:val="20"/>
          <w:szCs w:val="20"/>
          <w:lang w:val="en-TT"/>
        </w:rPr>
      </w:pPr>
      <w:r w:rsidRPr="005C68FC">
        <w:rPr>
          <w:rFonts w:ascii="Times New Roman" w:hAnsi="Times New Roman" w:cs="Times New Roman"/>
          <w:sz w:val="20"/>
          <w:szCs w:val="20"/>
          <w:lang w:val="en-TT"/>
        </w:rPr>
        <w:t xml:space="preserve">Any recommendations from the Commission to the Council pursuant to Article 165(i), (j) and (k) of the Convention, as well as any instances of non-compliance identified by the Commission or the Secretariat in the course of carrying out their functions or otherwise, shall be promptly forwarded to the Committee in the form of a report for consideration and further action as appropriate. </w:t>
      </w:r>
    </w:p>
    <w:p w14:paraId="136E5DCF" w14:textId="77777777" w:rsidR="00876A1C" w:rsidRPr="005C68FC" w:rsidRDefault="00876A1C" w:rsidP="00C14D7E">
      <w:pPr>
        <w:rPr>
          <w:rFonts w:ascii="Times New Roman" w:hAnsi="Times New Roman" w:cs="Times New Roman"/>
          <w:sz w:val="20"/>
          <w:szCs w:val="20"/>
          <w:lang w:val="en-TT"/>
        </w:rPr>
      </w:pPr>
      <w:r w:rsidRPr="005C68FC">
        <w:rPr>
          <w:rFonts w:ascii="Times New Roman" w:hAnsi="Times New Roman" w:cs="Times New Roman"/>
          <w:sz w:val="20"/>
          <w:szCs w:val="20"/>
          <w:lang w:val="en-TT"/>
        </w:rPr>
        <w:t xml:space="preserve">Except for complaints made against the Committee, all complaints received pursuant to Regulations 101 and 101bis shall also be immediately forwarded to the Committee for consideration and further action as appropriate. </w:t>
      </w:r>
    </w:p>
    <w:p w14:paraId="0C11947C" w14:textId="77777777" w:rsidR="00876A1C" w:rsidRPr="005C68FC" w:rsidRDefault="00876A1C" w:rsidP="00C14D7E">
      <w:pPr>
        <w:rPr>
          <w:rFonts w:ascii="Times New Roman" w:hAnsi="Times New Roman" w:cs="Times New Roman"/>
          <w:sz w:val="20"/>
          <w:szCs w:val="20"/>
          <w:lang w:val="en-TT"/>
        </w:rPr>
      </w:pPr>
      <w:r w:rsidRPr="005C68FC">
        <w:rPr>
          <w:rFonts w:ascii="Times New Roman" w:hAnsi="Times New Roman" w:cs="Times New Roman"/>
          <w:sz w:val="20"/>
          <w:szCs w:val="20"/>
          <w:lang w:val="en-TT"/>
        </w:rPr>
        <w:t xml:space="preserve">The Committee can commence its own investigation of non-compliance. </w:t>
      </w:r>
    </w:p>
    <w:p w14:paraId="197A1B10" w14:textId="77777777" w:rsidR="00876A1C" w:rsidRPr="005C68FC" w:rsidRDefault="00876A1C" w:rsidP="00C14D7E">
      <w:pPr>
        <w:rPr>
          <w:rFonts w:ascii="Times New Roman" w:hAnsi="Times New Roman" w:cs="Times New Roman"/>
          <w:sz w:val="20"/>
          <w:szCs w:val="20"/>
          <w:lang w:val="en-US"/>
        </w:rPr>
      </w:pPr>
      <w:r w:rsidRPr="005C68FC">
        <w:rPr>
          <w:rFonts w:ascii="Times New Roman" w:hAnsi="Times New Roman" w:cs="Times New Roman"/>
          <w:noProof/>
          <w:sz w:val="20"/>
          <w:szCs w:val="20"/>
          <w:highlight w:val="green"/>
          <w:lang w:val="en-US"/>
        </w:rPr>
        <mc:AlternateContent>
          <mc:Choice Requires="wps">
            <w:drawing>
              <wp:anchor distT="45720" distB="45720" distL="114300" distR="114300" simplePos="0" relativeHeight="251664384" behindDoc="0" locked="0" layoutInCell="1" allowOverlap="1" wp14:anchorId="032B8BB2" wp14:editId="389ADD1E">
                <wp:simplePos x="0" y="0"/>
                <wp:positionH relativeFrom="margin">
                  <wp:posOffset>24130</wp:posOffset>
                </wp:positionH>
                <wp:positionV relativeFrom="paragraph">
                  <wp:posOffset>532793</wp:posOffset>
                </wp:positionV>
                <wp:extent cx="6079490" cy="1404620"/>
                <wp:effectExtent l="0" t="0" r="16510" b="27305"/>
                <wp:wrapSquare wrapText="bothSides"/>
                <wp:docPr id="94613830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1404620"/>
                        </a:xfrm>
                        <a:prstGeom prst="rect">
                          <a:avLst/>
                        </a:prstGeom>
                        <a:solidFill>
                          <a:srgbClr val="FFFFFF"/>
                        </a:solidFill>
                        <a:ln w="9525">
                          <a:solidFill>
                            <a:srgbClr val="000000"/>
                          </a:solidFill>
                          <a:miter lim="800000"/>
                          <a:headEnd/>
                          <a:tailEnd/>
                        </a:ln>
                      </wps:spPr>
                      <wps:txbx>
                        <w:txbxContent>
                          <w:p w14:paraId="2174FCA5" w14:textId="77777777" w:rsidR="00876A1C" w:rsidRPr="006247E2" w:rsidRDefault="00876A1C" w:rsidP="00C14D7E">
                            <w:pPr>
                              <w:rPr>
                                <w:rFonts w:ascii="Times New Roman" w:hAnsi="Times New Roman" w:cs="Times New Roman"/>
                                <w:sz w:val="20"/>
                                <w:szCs w:val="20"/>
                                <w:lang w:val="en-US"/>
                              </w:rPr>
                            </w:pPr>
                            <w:r w:rsidRPr="006247E2">
                              <w:rPr>
                                <w:rFonts w:ascii="Times New Roman" w:hAnsi="Times New Roman" w:cs="Times New Roman"/>
                                <w:sz w:val="20"/>
                                <w:szCs w:val="20"/>
                                <w:lang w:val="en-US"/>
                              </w:rPr>
                              <w:t xml:space="preserve">Comment: </w:t>
                            </w:r>
                          </w:p>
                          <w:p w14:paraId="200D1571" w14:textId="77777777" w:rsidR="00876A1C" w:rsidRPr="006247E2" w:rsidRDefault="00876A1C" w:rsidP="00871FB7">
                            <w:pPr>
                              <w:pStyle w:val="Listeafsnit"/>
                              <w:numPr>
                                <w:ilvl w:val="0"/>
                                <w:numId w:val="10"/>
                              </w:numPr>
                              <w:rPr>
                                <w:rFonts w:ascii="Times New Roman" w:hAnsi="Times New Roman" w:cs="Times New Roman"/>
                                <w:sz w:val="20"/>
                                <w:szCs w:val="20"/>
                                <w:lang w:val="en-US"/>
                              </w:rPr>
                            </w:pPr>
                            <w:r w:rsidRPr="006247E2">
                              <w:rPr>
                                <w:rFonts w:ascii="Times New Roman" w:hAnsi="Times New Roman" w:cs="Times New Roman"/>
                                <w:sz w:val="20"/>
                                <w:szCs w:val="20"/>
                                <w:lang w:val="en-US"/>
                              </w:rPr>
                              <w:t xml:space="preserve">Upon suggestion from a participant during the informal meeting in July 2025 this is reintroduced from draft regulation 102 (2.bis) in the revised consolidated text.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2B8BB2" id="_x0000_s1032" type="#_x0000_t202" style="position:absolute;margin-left:1.9pt;margin-top:41.95pt;width:478.7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tFQIAACcEAAAOAAAAZHJzL2Uyb0RvYy54bWysk99v2yAQx98n7X9AvC92IidtrDpVly7T&#10;pO6H1O0POGMco2GOAYmd/fU7SJpG3fYyjQfEcfDl7nPHze3Ya7aXzis0FZ9Ocs6kEdgos634t6+b&#10;N9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">
                <v:textbox style="mso-fit-shape-to-text:t">
                  <w:txbxContent>
                    <w:p w14:paraId="2174FCA5" w14:textId="77777777" w:rsidR="00876A1C" w:rsidRPr="006247E2" w:rsidRDefault="00876A1C" w:rsidP="00C14D7E">
                      <w:pPr>
                        <w:rPr>
                          <w:rFonts w:ascii="Times New Roman" w:hAnsi="Times New Roman" w:cs="Times New Roman"/>
                          <w:sz w:val="20"/>
                          <w:szCs w:val="20"/>
                          <w:lang w:val="en-US"/>
                        </w:rPr>
                      </w:pPr>
                      <w:r w:rsidRPr="006247E2">
                        <w:rPr>
                          <w:rFonts w:ascii="Times New Roman" w:hAnsi="Times New Roman" w:cs="Times New Roman"/>
                          <w:sz w:val="20"/>
                          <w:szCs w:val="20"/>
                          <w:lang w:val="en-US"/>
                        </w:rPr>
                        <w:t xml:space="preserve">Comment: </w:t>
                      </w:r>
                    </w:p>
                    <w:p w14:paraId="200D1571" w14:textId="77777777" w:rsidR="00876A1C" w:rsidRPr="006247E2" w:rsidRDefault="00876A1C" w:rsidP="00871FB7">
                      <w:pPr>
                        <w:pStyle w:val="Listeafsnit"/>
                        <w:numPr>
                          <w:ilvl w:val="0"/>
                          <w:numId w:val="10"/>
                        </w:numPr>
                        <w:rPr>
                          <w:rFonts w:ascii="Times New Roman" w:hAnsi="Times New Roman" w:cs="Times New Roman"/>
                          <w:sz w:val="20"/>
                          <w:szCs w:val="20"/>
                          <w:lang w:val="en-US"/>
                        </w:rPr>
                      </w:pPr>
                      <w:r w:rsidRPr="006247E2">
                        <w:rPr>
                          <w:rFonts w:ascii="Times New Roman" w:hAnsi="Times New Roman" w:cs="Times New Roman"/>
                          <w:sz w:val="20"/>
                          <w:szCs w:val="20"/>
                          <w:lang w:val="en-US"/>
                        </w:rPr>
                        <w:t xml:space="preserve">Upon suggestion from a participant during the informal meeting in July 2025 this is reintroduced from draft regulation 102 (2.bis) in the revised consolidated text. </w:t>
                      </w:r>
                    </w:p>
                  </w:txbxContent>
                </v:textbox>
                <w10:wrap type="square" anchorx="margin"/>
              </v:shape>
            </w:pict>
          </mc:Fallback>
        </mc:AlternateContent>
      </w:r>
      <w:r w:rsidRPr="005C68FC">
        <w:rPr>
          <w:rFonts w:ascii="Times New Roman" w:hAnsi="Times New Roman" w:cs="Times New Roman"/>
          <w:sz w:val="20"/>
          <w:szCs w:val="20"/>
          <w:lang w:val="en-TT"/>
        </w:rPr>
        <w:t>In cases where complaints are made against the Committee, the Council shall directly address such complaints and determine how to proceed.</w:t>
      </w:r>
      <w:r w:rsidRPr="005C68FC">
        <w:rPr>
          <w:rFonts w:ascii="Times New Roman" w:hAnsi="Times New Roman" w:cs="Times New Roman"/>
          <w:sz w:val="20"/>
          <w:szCs w:val="20"/>
          <w:lang w:val="en-US"/>
        </w:rPr>
        <w:t xml:space="preserve">  </w:t>
      </w:r>
    </w:p>
    <w:p w14:paraId="7C6CE942" w14:textId="77777777" w:rsidR="00876A1C" w:rsidRPr="00C14D7E" w:rsidRDefault="00876A1C">
      <w:pPr>
        <w:rPr>
          <w:rFonts w:ascii="Times New Roman" w:hAnsi="Times New Roman" w:cs="Times New Roman"/>
          <w:sz w:val="20"/>
          <w:szCs w:val="20"/>
          <w:lang w:val="en-US"/>
        </w:rPr>
      </w:pPr>
    </w:p>
    <w:sectPr w:rsidR="00876A1C" w:rsidRPr="00C14D7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57E6" w14:textId="77777777" w:rsidR="00E71CA4" w:rsidRDefault="00E71CA4" w:rsidP="005F4B43">
      <w:pPr>
        <w:spacing w:after="0" w:line="240" w:lineRule="auto"/>
      </w:pPr>
      <w:r>
        <w:separator/>
      </w:r>
    </w:p>
  </w:endnote>
  <w:endnote w:type="continuationSeparator" w:id="0">
    <w:p w14:paraId="1A27C2EF" w14:textId="77777777" w:rsidR="00E71CA4" w:rsidRDefault="00E71CA4" w:rsidP="005F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9017" w14:textId="77777777" w:rsidR="00E71CA4" w:rsidRDefault="00E71CA4" w:rsidP="005F4B43">
      <w:pPr>
        <w:spacing w:after="0" w:line="240" w:lineRule="auto"/>
      </w:pPr>
      <w:r>
        <w:separator/>
      </w:r>
    </w:p>
  </w:footnote>
  <w:footnote w:type="continuationSeparator" w:id="0">
    <w:p w14:paraId="1B4C14D7" w14:textId="77777777" w:rsidR="00E71CA4" w:rsidRDefault="00E71CA4" w:rsidP="005F4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07B8" w14:textId="77777777" w:rsidR="00EC3667" w:rsidRDefault="00EC3667" w:rsidP="005F4B43">
    <w:pPr>
      <w:pStyle w:val="Sidehoved"/>
      <w:jc w:val="right"/>
      <w:rPr>
        <w:rFonts w:ascii="Times New Roman" w:hAnsi="Times New Roman" w:cs="Times New Roman"/>
        <w:sz w:val="20"/>
        <w:szCs w:val="20"/>
        <w:lang w:val="en-US"/>
      </w:rPr>
    </w:pPr>
    <w:r w:rsidRPr="00EC3667">
      <w:rPr>
        <w:rFonts w:ascii="Times New Roman" w:hAnsi="Times New Roman" w:cs="Times New Roman"/>
        <w:sz w:val="20"/>
        <w:szCs w:val="20"/>
        <w:lang w:val="en-US"/>
      </w:rPr>
      <w:t xml:space="preserve">Informal Intersessional Working Group on </w:t>
    </w:r>
    <w:r>
      <w:rPr>
        <w:rFonts w:ascii="Times New Roman" w:hAnsi="Times New Roman" w:cs="Times New Roman"/>
        <w:sz w:val="20"/>
        <w:szCs w:val="20"/>
        <w:lang w:val="en-US"/>
      </w:rPr>
      <w:t>ICE</w:t>
    </w:r>
  </w:p>
  <w:p w14:paraId="2C327BF9" w14:textId="3A1CDAB8" w:rsidR="005F4B43" w:rsidRDefault="002969A0" w:rsidP="005F4B43">
    <w:pPr>
      <w:pStyle w:val="Sidehoved"/>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Content for </w:t>
    </w:r>
    <w:r w:rsidR="005F4B43" w:rsidRPr="00EC3667">
      <w:rPr>
        <w:rFonts w:ascii="Times New Roman" w:hAnsi="Times New Roman" w:cs="Times New Roman"/>
        <w:sz w:val="20"/>
        <w:szCs w:val="20"/>
        <w:lang w:val="en-US"/>
      </w:rPr>
      <w:t>Draft Rules of Procedure</w:t>
    </w:r>
    <w:r>
      <w:rPr>
        <w:rFonts w:ascii="Times New Roman" w:hAnsi="Times New Roman" w:cs="Times New Roman"/>
        <w:sz w:val="20"/>
        <w:szCs w:val="20"/>
        <w:lang w:val="en-US"/>
      </w:rPr>
      <w:t xml:space="preserve"> </w:t>
    </w:r>
    <w:r w:rsidR="003C2273">
      <w:rPr>
        <w:rFonts w:ascii="Times New Roman" w:hAnsi="Times New Roman" w:cs="Times New Roman"/>
        <w:sz w:val="20"/>
        <w:szCs w:val="20"/>
        <w:lang w:val="en-US"/>
      </w:rPr>
      <w:t xml:space="preserve">(I) </w:t>
    </w:r>
    <w:r>
      <w:rPr>
        <w:rFonts w:ascii="Times New Roman" w:hAnsi="Times New Roman" w:cs="Times New Roman"/>
        <w:sz w:val="20"/>
        <w:szCs w:val="20"/>
        <w:lang w:val="en-US"/>
      </w:rPr>
      <w:t>and Compliance Strategy</w:t>
    </w:r>
    <w:r w:rsidR="003C2273">
      <w:rPr>
        <w:rFonts w:ascii="Times New Roman" w:hAnsi="Times New Roman" w:cs="Times New Roman"/>
        <w:sz w:val="20"/>
        <w:szCs w:val="20"/>
        <w:lang w:val="en-US"/>
      </w:rPr>
      <w:t xml:space="preserve"> (II)</w:t>
    </w:r>
    <w:r>
      <w:rPr>
        <w:rFonts w:ascii="Times New Roman" w:hAnsi="Times New Roman" w:cs="Times New Roman"/>
        <w:sz w:val="20"/>
        <w:szCs w:val="20"/>
        <w:lang w:val="en-US"/>
      </w:rPr>
      <w:t xml:space="preserve"> </w:t>
    </w:r>
  </w:p>
  <w:p w14:paraId="499D6A21" w14:textId="3310B42F" w:rsidR="00EC3667" w:rsidRPr="00EC3667" w:rsidRDefault="00871FB7" w:rsidP="005F4B43">
    <w:pPr>
      <w:pStyle w:val="Sidehoved"/>
      <w:jc w:val="right"/>
      <w:rPr>
        <w:rFonts w:ascii="Times New Roman" w:hAnsi="Times New Roman" w:cs="Times New Roman"/>
        <w:sz w:val="20"/>
        <w:szCs w:val="20"/>
        <w:lang w:val="en-US"/>
      </w:rPr>
    </w:pPr>
    <w:r>
      <w:rPr>
        <w:rFonts w:ascii="Times New Roman" w:hAnsi="Times New Roman" w:cs="Times New Roman"/>
        <w:sz w:val="20"/>
        <w:szCs w:val="20"/>
        <w:lang w:val="en-US"/>
      </w:rPr>
      <w:t>1</w:t>
    </w:r>
    <w:r w:rsidR="002969A0">
      <w:rPr>
        <w:rFonts w:ascii="Times New Roman" w:hAnsi="Times New Roman" w:cs="Times New Roman"/>
        <w:sz w:val="20"/>
        <w:szCs w:val="20"/>
        <w:lang w:val="en-US"/>
      </w:rPr>
      <w:t xml:space="preserve"> </w:t>
    </w:r>
    <w:r>
      <w:rPr>
        <w:rFonts w:ascii="Times New Roman" w:hAnsi="Times New Roman" w:cs="Times New Roman"/>
        <w:sz w:val="20"/>
        <w:szCs w:val="20"/>
        <w:lang w:val="en-US"/>
      </w:rPr>
      <w:t>December</w:t>
    </w:r>
    <w:r w:rsidR="00EC3667">
      <w:rPr>
        <w:rFonts w:ascii="Times New Roman" w:hAnsi="Times New Roman" w:cs="Times New Roman"/>
        <w:sz w:val="20"/>
        <w:szCs w:val="20"/>
        <w:lang w:val="en-US"/>
      </w:rPr>
      <w:t xml:space="preserve"> 2025</w:t>
    </w:r>
  </w:p>
  <w:p w14:paraId="2F212714" w14:textId="77777777" w:rsidR="00556216" w:rsidRPr="00EC3667" w:rsidRDefault="00556216" w:rsidP="005F4B43">
    <w:pPr>
      <w:pStyle w:val="Sidehoved"/>
      <w:jc w:val="right"/>
      <w:rPr>
        <w:rFonts w:ascii="Times New Roman" w:hAnsi="Times New Roman" w:cs="Times New Roman"/>
        <w:sz w:val="20"/>
        <w:szCs w:val="20"/>
        <w:lang w:val="en-US"/>
      </w:rPr>
    </w:pPr>
  </w:p>
  <w:p w14:paraId="52E05CC2" w14:textId="77777777" w:rsidR="005F4B43" w:rsidRPr="00EC3667" w:rsidRDefault="005F4B43" w:rsidP="005F4B43">
    <w:pPr>
      <w:pStyle w:val="Sidehoved"/>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5A4"/>
    <w:multiLevelType w:val="multilevel"/>
    <w:tmpl w:val="232A82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0156"/>
    <w:multiLevelType w:val="multilevel"/>
    <w:tmpl w:val="F7D69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83D88"/>
    <w:multiLevelType w:val="hybridMultilevel"/>
    <w:tmpl w:val="3C9811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1307A"/>
    <w:multiLevelType w:val="hybridMultilevel"/>
    <w:tmpl w:val="3C98112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0170520"/>
    <w:multiLevelType w:val="hybridMultilevel"/>
    <w:tmpl w:val="80FA99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583B95"/>
    <w:multiLevelType w:val="hybridMultilevel"/>
    <w:tmpl w:val="3064E7FA"/>
    <w:lvl w:ilvl="0" w:tplc="D3C47DA8">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D3523FF"/>
    <w:multiLevelType w:val="hybridMultilevel"/>
    <w:tmpl w:val="5F5CA0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A704F4"/>
    <w:multiLevelType w:val="hybridMultilevel"/>
    <w:tmpl w:val="4EC09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50D22D5"/>
    <w:multiLevelType w:val="hybridMultilevel"/>
    <w:tmpl w:val="20B2C9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7E129B"/>
    <w:multiLevelType w:val="multilevel"/>
    <w:tmpl w:val="07C8F7B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8925E70"/>
    <w:multiLevelType w:val="multilevel"/>
    <w:tmpl w:val="6D5E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24E12"/>
    <w:multiLevelType w:val="hybridMultilevel"/>
    <w:tmpl w:val="F9A24294"/>
    <w:lvl w:ilvl="0" w:tplc="618A63B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92842246">
    <w:abstractNumId w:val="1"/>
  </w:num>
  <w:num w:numId="2" w16cid:durableId="1025524383">
    <w:abstractNumId w:val="9"/>
  </w:num>
  <w:num w:numId="3" w16cid:durableId="1574315670">
    <w:abstractNumId w:val="0"/>
  </w:num>
  <w:num w:numId="4" w16cid:durableId="1051885465">
    <w:abstractNumId w:val="5"/>
  </w:num>
  <w:num w:numId="5" w16cid:durableId="422576655">
    <w:abstractNumId w:val="11"/>
  </w:num>
  <w:num w:numId="6" w16cid:durableId="1671789600">
    <w:abstractNumId w:val="3"/>
  </w:num>
  <w:num w:numId="7" w16cid:durableId="2001884172">
    <w:abstractNumId w:val="4"/>
  </w:num>
  <w:num w:numId="8" w16cid:durableId="1522743633">
    <w:abstractNumId w:val="2"/>
  </w:num>
  <w:num w:numId="9" w16cid:durableId="680426257">
    <w:abstractNumId w:val="6"/>
  </w:num>
  <w:num w:numId="10" w16cid:durableId="1064447319">
    <w:abstractNumId w:val="7"/>
  </w:num>
  <w:num w:numId="11" w16cid:durableId="880897164">
    <w:abstractNumId w:val="10"/>
  </w:num>
  <w:num w:numId="12" w16cid:durableId="1808737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6F"/>
    <w:rsid w:val="00007A18"/>
    <w:rsid w:val="00007A31"/>
    <w:rsid w:val="00007DD7"/>
    <w:rsid w:val="000125E9"/>
    <w:rsid w:val="000136A5"/>
    <w:rsid w:val="000234FF"/>
    <w:rsid w:val="00030916"/>
    <w:rsid w:val="00032D39"/>
    <w:rsid w:val="00033D00"/>
    <w:rsid w:val="00042039"/>
    <w:rsid w:val="00051F03"/>
    <w:rsid w:val="000521C4"/>
    <w:rsid w:val="00052DBE"/>
    <w:rsid w:val="00053972"/>
    <w:rsid w:val="00054B1B"/>
    <w:rsid w:val="00055866"/>
    <w:rsid w:val="00060637"/>
    <w:rsid w:val="00062EAD"/>
    <w:rsid w:val="00065E0A"/>
    <w:rsid w:val="00066521"/>
    <w:rsid w:val="000707AF"/>
    <w:rsid w:val="00071897"/>
    <w:rsid w:val="000729AD"/>
    <w:rsid w:val="0007560A"/>
    <w:rsid w:val="00082BAB"/>
    <w:rsid w:val="000926EA"/>
    <w:rsid w:val="000A0D8D"/>
    <w:rsid w:val="000A2584"/>
    <w:rsid w:val="000A2CB2"/>
    <w:rsid w:val="000A44A9"/>
    <w:rsid w:val="000A7E77"/>
    <w:rsid w:val="000B0295"/>
    <w:rsid w:val="000B06EE"/>
    <w:rsid w:val="000B3815"/>
    <w:rsid w:val="000B5A98"/>
    <w:rsid w:val="000B700F"/>
    <w:rsid w:val="000B7A3F"/>
    <w:rsid w:val="000C0D7A"/>
    <w:rsid w:val="000C21FE"/>
    <w:rsid w:val="000C5DC0"/>
    <w:rsid w:val="000D07F4"/>
    <w:rsid w:val="000D32F1"/>
    <w:rsid w:val="000D6233"/>
    <w:rsid w:val="000E2110"/>
    <w:rsid w:val="000E2448"/>
    <w:rsid w:val="000E7577"/>
    <w:rsid w:val="000F0366"/>
    <w:rsid w:val="000F36DF"/>
    <w:rsid w:val="000F46A2"/>
    <w:rsid w:val="000F5061"/>
    <w:rsid w:val="000F672A"/>
    <w:rsid w:val="00100275"/>
    <w:rsid w:val="001012BE"/>
    <w:rsid w:val="00105DF5"/>
    <w:rsid w:val="0011182C"/>
    <w:rsid w:val="00112276"/>
    <w:rsid w:val="00112C7E"/>
    <w:rsid w:val="001139FC"/>
    <w:rsid w:val="00113B01"/>
    <w:rsid w:val="00114608"/>
    <w:rsid w:val="001154D4"/>
    <w:rsid w:val="00120639"/>
    <w:rsid w:val="00121BC9"/>
    <w:rsid w:val="00125F2D"/>
    <w:rsid w:val="00126A45"/>
    <w:rsid w:val="001305FE"/>
    <w:rsid w:val="0013060B"/>
    <w:rsid w:val="00130722"/>
    <w:rsid w:val="0013399B"/>
    <w:rsid w:val="0013560B"/>
    <w:rsid w:val="00137F14"/>
    <w:rsid w:val="001406DD"/>
    <w:rsid w:val="00140772"/>
    <w:rsid w:val="001416D1"/>
    <w:rsid w:val="001427AE"/>
    <w:rsid w:val="0014605B"/>
    <w:rsid w:val="001462D9"/>
    <w:rsid w:val="0014799E"/>
    <w:rsid w:val="00147A49"/>
    <w:rsid w:val="00147BE1"/>
    <w:rsid w:val="00153592"/>
    <w:rsid w:val="001548A3"/>
    <w:rsid w:val="001574F4"/>
    <w:rsid w:val="00157781"/>
    <w:rsid w:val="00161BEC"/>
    <w:rsid w:val="00162787"/>
    <w:rsid w:val="00172433"/>
    <w:rsid w:val="00184098"/>
    <w:rsid w:val="00184608"/>
    <w:rsid w:val="001865EB"/>
    <w:rsid w:val="001871F7"/>
    <w:rsid w:val="00193D40"/>
    <w:rsid w:val="00195C8B"/>
    <w:rsid w:val="0019778C"/>
    <w:rsid w:val="001978F8"/>
    <w:rsid w:val="001A04D5"/>
    <w:rsid w:val="001A14AD"/>
    <w:rsid w:val="001A17FF"/>
    <w:rsid w:val="001A76E8"/>
    <w:rsid w:val="001A7A20"/>
    <w:rsid w:val="001B059E"/>
    <w:rsid w:val="001B0F4C"/>
    <w:rsid w:val="001B1B9B"/>
    <w:rsid w:val="001B5267"/>
    <w:rsid w:val="001B6F5C"/>
    <w:rsid w:val="001C2F06"/>
    <w:rsid w:val="001C466C"/>
    <w:rsid w:val="001C4CC2"/>
    <w:rsid w:val="001C5DAB"/>
    <w:rsid w:val="001C7291"/>
    <w:rsid w:val="001D0384"/>
    <w:rsid w:val="001D03E5"/>
    <w:rsid w:val="001D21EE"/>
    <w:rsid w:val="001D3C7F"/>
    <w:rsid w:val="001D3FA9"/>
    <w:rsid w:val="001D664A"/>
    <w:rsid w:val="001D6E0F"/>
    <w:rsid w:val="001D7455"/>
    <w:rsid w:val="001D7878"/>
    <w:rsid w:val="001E2E7F"/>
    <w:rsid w:val="001E5C89"/>
    <w:rsid w:val="001E6DFC"/>
    <w:rsid w:val="001E7810"/>
    <w:rsid w:val="00200B40"/>
    <w:rsid w:val="00201007"/>
    <w:rsid w:val="00201E24"/>
    <w:rsid w:val="0020441C"/>
    <w:rsid w:val="002114D3"/>
    <w:rsid w:val="00213A31"/>
    <w:rsid w:val="002177B9"/>
    <w:rsid w:val="00221ADC"/>
    <w:rsid w:val="00221CCE"/>
    <w:rsid w:val="0022463E"/>
    <w:rsid w:val="002261D9"/>
    <w:rsid w:val="002272C0"/>
    <w:rsid w:val="00227586"/>
    <w:rsid w:val="002305E5"/>
    <w:rsid w:val="00230AB9"/>
    <w:rsid w:val="00232B00"/>
    <w:rsid w:val="00236FE3"/>
    <w:rsid w:val="00241078"/>
    <w:rsid w:val="00241EC3"/>
    <w:rsid w:val="00250856"/>
    <w:rsid w:val="002558FD"/>
    <w:rsid w:val="00262410"/>
    <w:rsid w:val="0026378F"/>
    <w:rsid w:val="00264661"/>
    <w:rsid w:val="00264C7D"/>
    <w:rsid w:val="002654A7"/>
    <w:rsid w:val="002711D4"/>
    <w:rsid w:val="00271C0A"/>
    <w:rsid w:val="00271DAB"/>
    <w:rsid w:val="00274E12"/>
    <w:rsid w:val="00282D68"/>
    <w:rsid w:val="0028436F"/>
    <w:rsid w:val="002873E7"/>
    <w:rsid w:val="00292A80"/>
    <w:rsid w:val="002943B4"/>
    <w:rsid w:val="00295F67"/>
    <w:rsid w:val="002969A0"/>
    <w:rsid w:val="002A183F"/>
    <w:rsid w:val="002A5DD0"/>
    <w:rsid w:val="002B3036"/>
    <w:rsid w:val="002B4115"/>
    <w:rsid w:val="002B42A8"/>
    <w:rsid w:val="002C0079"/>
    <w:rsid w:val="002C202D"/>
    <w:rsid w:val="002C3602"/>
    <w:rsid w:val="002C6680"/>
    <w:rsid w:val="002C760E"/>
    <w:rsid w:val="002D0C08"/>
    <w:rsid w:val="002D3279"/>
    <w:rsid w:val="002E32CF"/>
    <w:rsid w:val="002E4C2E"/>
    <w:rsid w:val="002E6C7C"/>
    <w:rsid w:val="002F1E6A"/>
    <w:rsid w:val="002F3BEA"/>
    <w:rsid w:val="00302F17"/>
    <w:rsid w:val="00303951"/>
    <w:rsid w:val="003122B9"/>
    <w:rsid w:val="00314982"/>
    <w:rsid w:val="00314BDD"/>
    <w:rsid w:val="00315256"/>
    <w:rsid w:val="00315636"/>
    <w:rsid w:val="0031636C"/>
    <w:rsid w:val="00320665"/>
    <w:rsid w:val="00326F25"/>
    <w:rsid w:val="0032727D"/>
    <w:rsid w:val="003304C3"/>
    <w:rsid w:val="003363C4"/>
    <w:rsid w:val="00336C4C"/>
    <w:rsid w:val="0034029B"/>
    <w:rsid w:val="00347745"/>
    <w:rsid w:val="00352506"/>
    <w:rsid w:val="003533B7"/>
    <w:rsid w:val="003572C2"/>
    <w:rsid w:val="0035782C"/>
    <w:rsid w:val="0036145B"/>
    <w:rsid w:val="003649F7"/>
    <w:rsid w:val="00366AF8"/>
    <w:rsid w:val="00366E32"/>
    <w:rsid w:val="003678B6"/>
    <w:rsid w:val="00373A5C"/>
    <w:rsid w:val="003754F7"/>
    <w:rsid w:val="00375D52"/>
    <w:rsid w:val="00383FB6"/>
    <w:rsid w:val="00385910"/>
    <w:rsid w:val="00393349"/>
    <w:rsid w:val="00394C22"/>
    <w:rsid w:val="00396043"/>
    <w:rsid w:val="003A1D85"/>
    <w:rsid w:val="003A33D9"/>
    <w:rsid w:val="003B2728"/>
    <w:rsid w:val="003B3D7F"/>
    <w:rsid w:val="003B5713"/>
    <w:rsid w:val="003B5E4D"/>
    <w:rsid w:val="003C01E0"/>
    <w:rsid w:val="003C02B3"/>
    <w:rsid w:val="003C2273"/>
    <w:rsid w:val="003D091A"/>
    <w:rsid w:val="003D1CED"/>
    <w:rsid w:val="003D332E"/>
    <w:rsid w:val="003D4698"/>
    <w:rsid w:val="003D4D1D"/>
    <w:rsid w:val="003D6C9D"/>
    <w:rsid w:val="003E4FC3"/>
    <w:rsid w:val="003E76E3"/>
    <w:rsid w:val="003F17BF"/>
    <w:rsid w:val="003F78D5"/>
    <w:rsid w:val="00400BF5"/>
    <w:rsid w:val="00411CFF"/>
    <w:rsid w:val="0041479D"/>
    <w:rsid w:val="00414C66"/>
    <w:rsid w:val="00421509"/>
    <w:rsid w:val="004215CB"/>
    <w:rsid w:val="0042350B"/>
    <w:rsid w:val="00423839"/>
    <w:rsid w:val="00426FC0"/>
    <w:rsid w:val="004306E1"/>
    <w:rsid w:val="0043317C"/>
    <w:rsid w:val="00435674"/>
    <w:rsid w:val="00441E16"/>
    <w:rsid w:val="00446BA0"/>
    <w:rsid w:val="004511C9"/>
    <w:rsid w:val="004628C6"/>
    <w:rsid w:val="0046314E"/>
    <w:rsid w:val="00463C7C"/>
    <w:rsid w:val="00467EEF"/>
    <w:rsid w:val="00470F02"/>
    <w:rsid w:val="00473523"/>
    <w:rsid w:val="0047713F"/>
    <w:rsid w:val="004923CB"/>
    <w:rsid w:val="00493181"/>
    <w:rsid w:val="00494012"/>
    <w:rsid w:val="004A2131"/>
    <w:rsid w:val="004A6AB9"/>
    <w:rsid w:val="004A7FED"/>
    <w:rsid w:val="004B0385"/>
    <w:rsid w:val="004B06CC"/>
    <w:rsid w:val="004B33CC"/>
    <w:rsid w:val="004B39EE"/>
    <w:rsid w:val="004C2760"/>
    <w:rsid w:val="004C404C"/>
    <w:rsid w:val="004D0ACE"/>
    <w:rsid w:val="004D2F34"/>
    <w:rsid w:val="004E1781"/>
    <w:rsid w:val="004E394B"/>
    <w:rsid w:val="004E78B3"/>
    <w:rsid w:val="004F0021"/>
    <w:rsid w:val="004F0BF0"/>
    <w:rsid w:val="004F1E0D"/>
    <w:rsid w:val="004F2FF0"/>
    <w:rsid w:val="004F31EF"/>
    <w:rsid w:val="004F5422"/>
    <w:rsid w:val="004F77A8"/>
    <w:rsid w:val="00506B95"/>
    <w:rsid w:val="00510F08"/>
    <w:rsid w:val="0051251A"/>
    <w:rsid w:val="0051340E"/>
    <w:rsid w:val="00514DE6"/>
    <w:rsid w:val="005225EF"/>
    <w:rsid w:val="00523226"/>
    <w:rsid w:val="005251FF"/>
    <w:rsid w:val="0052764B"/>
    <w:rsid w:val="00527CDF"/>
    <w:rsid w:val="005306ED"/>
    <w:rsid w:val="0054614E"/>
    <w:rsid w:val="0054650B"/>
    <w:rsid w:val="00546DA0"/>
    <w:rsid w:val="00551E2F"/>
    <w:rsid w:val="00555551"/>
    <w:rsid w:val="00556216"/>
    <w:rsid w:val="005618AF"/>
    <w:rsid w:val="00573637"/>
    <w:rsid w:val="005742A2"/>
    <w:rsid w:val="00577756"/>
    <w:rsid w:val="00580136"/>
    <w:rsid w:val="005856B4"/>
    <w:rsid w:val="00590723"/>
    <w:rsid w:val="0059164A"/>
    <w:rsid w:val="00593FA1"/>
    <w:rsid w:val="005967A7"/>
    <w:rsid w:val="005A223E"/>
    <w:rsid w:val="005A375E"/>
    <w:rsid w:val="005A3766"/>
    <w:rsid w:val="005A3AED"/>
    <w:rsid w:val="005B0835"/>
    <w:rsid w:val="005B2338"/>
    <w:rsid w:val="005B3B13"/>
    <w:rsid w:val="005C68FC"/>
    <w:rsid w:val="005C7CBF"/>
    <w:rsid w:val="005D78FB"/>
    <w:rsid w:val="005D79BF"/>
    <w:rsid w:val="005E3211"/>
    <w:rsid w:val="005E333B"/>
    <w:rsid w:val="005E5E84"/>
    <w:rsid w:val="005F1A63"/>
    <w:rsid w:val="005F4B34"/>
    <w:rsid w:val="005F4B43"/>
    <w:rsid w:val="005F677A"/>
    <w:rsid w:val="005F72E5"/>
    <w:rsid w:val="00605DE2"/>
    <w:rsid w:val="006162D5"/>
    <w:rsid w:val="0062078B"/>
    <w:rsid w:val="0062141E"/>
    <w:rsid w:val="0062338B"/>
    <w:rsid w:val="00623538"/>
    <w:rsid w:val="006247E2"/>
    <w:rsid w:val="00625A26"/>
    <w:rsid w:val="00625F78"/>
    <w:rsid w:val="0062648E"/>
    <w:rsid w:val="00631E0E"/>
    <w:rsid w:val="00634075"/>
    <w:rsid w:val="00637BAD"/>
    <w:rsid w:val="006417C9"/>
    <w:rsid w:val="00641F46"/>
    <w:rsid w:val="00642A39"/>
    <w:rsid w:val="0065137A"/>
    <w:rsid w:val="00653B6C"/>
    <w:rsid w:val="006556E3"/>
    <w:rsid w:val="00657969"/>
    <w:rsid w:val="00660AF7"/>
    <w:rsid w:val="00663DCB"/>
    <w:rsid w:val="00670A67"/>
    <w:rsid w:val="00674392"/>
    <w:rsid w:val="006813CC"/>
    <w:rsid w:val="0068360C"/>
    <w:rsid w:val="0068559F"/>
    <w:rsid w:val="006A280A"/>
    <w:rsid w:val="006A29DF"/>
    <w:rsid w:val="006A4A32"/>
    <w:rsid w:val="006A6025"/>
    <w:rsid w:val="006B06CC"/>
    <w:rsid w:val="006B4841"/>
    <w:rsid w:val="006B6258"/>
    <w:rsid w:val="006B641D"/>
    <w:rsid w:val="006C2111"/>
    <w:rsid w:val="006C3AF1"/>
    <w:rsid w:val="006C4FD5"/>
    <w:rsid w:val="006C4FE6"/>
    <w:rsid w:val="006C5752"/>
    <w:rsid w:val="006C6A2B"/>
    <w:rsid w:val="006C6D5A"/>
    <w:rsid w:val="006D6DFD"/>
    <w:rsid w:val="006E146A"/>
    <w:rsid w:val="006E1D5A"/>
    <w:rsid w:val="006E1E34"/>
    <w:rsid w:val="006E381A"/>
    <w:rsid w:val="006E67D4"/>
    <w:rsid w:val="006E74E6"/>
    <w:rsid w:val="006F3C3B"/>
    <w:rsid w:val="006F4415"/>
    <w:rsid w:val="006F5C39"/>
    <w:rsid w:val="006F6A60"/>
    <w:rsid w:val="006F71EE"/>
    <w:rsid w:val="00701EF7"/>
    <w:rsid w:val="00703C98"/>
    <w:rsid w:val="0070567D"/>
    <w:rsid w:val="0070622F"/>
    <w:rsid w:val="00706918"/>
    <w:rsid w:val="007109BF"/>
    <w:rsid w:val="007120B3"/>
    <w:rsid w:val="00712857"/>
    <w:rsid w:val="00715E94"/>
    <w:rsid w:val="00716CD0"/>
    <w:rsid w:val="007229F5"/>
    <w:rsid w:val="007247C4"/>
    <w:rsid w:val="0072637B"/>
    <w:rsid w:val="00727135"/>
    <w:rsid w:val="0072719C"/>
    <w:rsid w:val="00730E24"/>
    <w:rsid w:val="007321D6"/>
    <w:rsid w:val="00732625"/>
    <w:rsid w:val="00732867"/>
    <w:rsid w:val="00735F56"/>
    <w:rsid w:val="0073613F"/>
    <w:rsid w:val="00737A3A"/>
    <w:rsid w:val="00741195"/>
    <w:rsid w:val="0074348B"/>
    <w:rsid w:val="007476C8"/>
    <w:rsid w:val="00747E55"/>
    <w:rsid w:val="00753BE4"/>
    <w:rsid w:val="00754868"/>
    <w:rsid w:val="00762397"/>
    <w:rsid w:val="007625B8"/>
    <w:rsid w:val="00763197"/>
    <w:rsid w:val="007641B0"/>
    <w:rsid w:val="0076441E"/>
    <w:rsid w:val="00766371"/>
    <w:rsid w:val="00770E66"/>
    <w:rsid w:val="00771D71"/>
    <w:rsid w:val="0077209D"/>
    <w:rsid w:val="007759DF"/>
    <w:rsid w:val="0078172C"/>
    <w:rsid w:val="0078499B"/>
    <w:rsid w:val="007869CC"/>
    <w:rsid w:val="00786EA7"/>
    <w:rsid w:val="00787E03"/>
    <w:rsid w:val="00792E18"/>
    <w:rsid w:val="00792F0C"/>
    <w:rsid w:val="007935EE"/>
    <w:rsid w:val="0079453A"/>
    <w:rsid w:val="007950A5"/>
    <w:rsid w:val="00795973"/>
    <w:rsid w:val="00796141"/>
    <w:rsid w:val="00797F3D"/>
    <w:rsid w:val="007A0277"/>
    <w:rsid w:val="007A0DC7"/>
    <w:rsid w:val="007A7D69"/>
    <w:rsid w:val="007B363F"/>
    <w:rsid w:val="007B4AD9"/>
    <w:rsid w:val="007B6221"/>
    <w:rsid w:val="007C3348"/>
    <w:rsid w:val="007C35E9"/>
    <w:rsid w:val="007C3C5B"/>
    <w:rsid w:val="007C5827"/>
    <w:rsid w:val="007D114C"/>
    <w:rsid w:val="007E08EF"/>
    <w:rsid w:val="007E1D34"/>
    <w:rsid w:val="007E34D0"/>
    <w:rsid w:val="007E39FF"/>
    <w:rsid w:val="007E4F03"/>
    <w:rsid w:val="007F23CC"/>
    <w:rsid w:val="007F273A"/>
    <w:rsid w:val="007F37AB"/>
    <w:rsid w:val="0080024B"/>
    <w:rsid w:val="00803BE5"/>
    <w:rsid w:val="00806655"/>
    <w:rsid w:val="008104BE"/>
    <w:rsid w:val="00810644"/>
    <w:rsid w:val="008113DA"/>
    <w:rsid w:val="008120A4"/>
    <w:rsid w:val="0081305F"/>
    <w:rsid w:val="00814D04"/>
    <w:rsid w:val="00820F39"/>
    <w:rsid w:val="00821B24"/>
    <w:rsid w:val="00822C14"/>
    <w:rsid w:val="00823FBC"/>
    <w:rsid w:val="0082481F"/>
    <w:rsid w:val="008270C0"/>
    <w:rsid w:val="00827CA3"/>
    <w:rsid w:val="00830DC1"/>
    <w:rsid w:val="00832411"/>
    <w:rsid w:val="00832D29"/>
    <w:rsid w:val="00833FB3"/>
    <w:rsid w:val="0083442E"/>
    <w:rsid w:val="00834B4A"/>
    <w:rsid w:val="00840494"/>
    <w:rsid w:val="00840B07"/>
    <w:rsid w:val="00843399"/>
    <w:rsid w:val="0085018D"/>
    <w:rsid w:val="00852BCC"/>
    <w:rsid w:val="0085681E"/>
    <w:rsid w:val="00862A80"/>
    <w:rsid w:val="00863246"/>
    <w:rsid w:val="008640C0"/>
    <w:rsid w:val="00865101"/>
    <w:rsid w:val="0086722D"/>
    <w:rsid w:val="00867B01"/>
    <w:rsid w:val="0087031B"/>
    <w:rsid w:val="00871FB7"/>
    <w:rsid w:val="00872A70"/>
    <w:rsid w:val="00875144"/>
    <w:rsid w:val="00876A1C"/>
    <w:rsid w:val="0088166D"/>
    <w:rsid w:val="008862B7"/>
    <w:rsid w:val="00892151"/>
    <w:rsid w:val="008950BA"/>
    <w:rsid w:val="00896407"/>
    <w:rsid w:val="0089683D"/>
    <w:rsid w:val="008A0594"/>
    <w:rsid w:val="008A0C45"/>
    <w:rsid w:val="008A35C3"/>
    <w:rsid w:val="008B21D9"/>
    <w:rsid w:val="008B7450"/>
    <w:rsid w:val="008B7F6D"/>
    <w:rsid w:val="008C1D27"/>
    <w:rsid w:val="008C447C"/>
    <w:rsid w:val="008C481A"/>
    <w:rsid w:val="008D0F47"/>
    <w:rsid w:val="008D6136"/>
    <w:rsid w:val="008E0792"/>
    <w:rsid w:val="008E6016"/>
    <w:rsid w:val="008E67C9"/>
    <w:rsid w:val="008F052B"/>
    <w:rsid w:val="008F1108"/>
    <w:rsid w:val="008F11D0"/>
    <w:rsid w:val="008F2BFF"/>
    <w:rsid w:val="008F350E"/>
    <w:rsid w:val="009026BA"/>
    <w:rsid w:val="0091046B"/>
    <w:rsid w:val="009155A4"/>
    <w:rsid w:val="00921EFB"/>
    <w:rsid w:val="00925BFD"/>
    <w:rsid w:val="00935589"/>
    <w:rsid w:val="00946559"/>
    <w:rsid w:val="009563E2"/>
    <w:rsid w:val="0096566F"/>
    <w:rsid w:val="009674B8"/>
    <w:rsid w:val="009714EF"/>
    <w:rsid w:val="00971ECC"/>
    <w:rsid w:val="00972FD4"/>
    <w:rsid w:val="0097360A"/>
    <w:rsid w:val="00977D55"/>
    <w:rsid w:val="00980948"/>
    <w:rsid w:val="0098765B"/>
    <w:rsid w:val="0099380D"/>
    <w:rsid w:val="0099436E"/>
    <w:rsid w:val="009A1EC3"/>
    <w:rsid w:val="009A46F9"/>
    <w:rsid w:val="009B39D0"/>
    <w:rsid w:val="009C132E"/>
    <w:rsid w:val="009C5DE2"/>
    <w:rsid w:val="009C7397"/>
    <w:rsid w:val="009D0A10"/>
    <w:rsid w:val="009D68E4"/>
    <w:rsid w:val="009E063B"/>
    <w:rsid w:val="009E50A5"/>
    <w:rsid w:val="009E632E"/>
    <w:rsid w:val="009F217A"/>
    <w:rsid w:val="009F2BCB"/>
    <w:rsid w:val="009F514F"/>
    <w:rsid w:val="009F6BCE"/>
    <w:rsid w:val="00A00E7A"/>
    <w:rsid w:val="00A028B3"/>
    <w:rsid w:val="00A0708B"/>
    <w:rsid w:val="00A0753F"/>
    <w:rsid w:val="00A10FB4"/>
    <w:rsid w:val="00A11EC9"/>
    <w:rsid w:val="00A1308E"/>
    <w:rsid w:val="00A20C3D"/>
    <w:rsid w:val="00A245A4"/>
    <w:rsid w:val="00A2505B"/>
    <w:rsid w:val="00A25643"/>
    <w:rsid w:val="00A25AD9"/>
    <w:rsid w:val="00A26C66"/>
    <w:rsid w:val="00A40EA8"/>
    <w:rsid w:val="00A505F3"/>
    <w:rsid w:val="00A53E49"/>
    <w:rsid w:val="00A54FAB"/>
    <w:rsid w:val="00A564A5"/>
    <w:rsid w:val="00A56842"/>
    <w:rsid w:val="00A62085"/>
    <w:rsid w:val="00A626BB"/>
    <w:rsid w:val="00A64839"/>
    <w:rsid w:val="00A730CF"/>
    <w:rsid w:val="00A76332"/>
    <w:rsid w:val="00A80BF8"/>
    <w:rsid w:val="00A8266D"/>
    <w:rsid w:val="00A84173"/>
    <w:rsid w:val="00A90C93"/>
    <w:rsid w:val="00A93942"/>
    <w:rsid w:val="00A94111"/>
    <w:rsid w:val="00AA1095"/>
    <w:rsid w:val="00AA47CC"/>
    <w:rsid w:val="00AA78F5"/>
    <w:rsid w:val="00AA7DDD"/>
    <w:rsid w:val="00AC2117"/>
    <w:rsid w:val="00AC2326"/>
    <w:rsid w:val="00AD063C"/>
    <w:rsid w:val="00AD3F05"/>
    <w:rsid w:val="00AD6FF0"/>
    <w:rsid w:val="00AD70C2"/>
    <w:rsid w:val="00AE131A"/>
    <w:rsid w:val="00AE1462"/>
    <w:rsid w:val="00AE1726"/>
    <w:rsid w:val="00AE3930"/>
    <w:rsid w:val="00AE4A5C"/>
    <w:rsid w:val="00AE5AD2"/>
    <w:rsid w:val="00AE606D"/>
    <w:rsid w:val="00AE6180"/>
    <w:rsid w:val="00AF1B40"/>
    <w:rsid w:val="00AF2ECC"/>
    <w:rsid w:val="00AF5861"/>
    <w:rsid w:val="00B021D7"/>
    <w:rsid w:val="00B02216"/>
    <w:rsid w:val="00B02F90"/>
    <w:rsid w:val="00B04FAD"/>
    <w:rsid w:val="00B052FC"/>
    <w:rsid w:val="00B12D61"/>
    <w:rsid w:val="00B144A5"/>
    <w:rsid w:val="00B15410"/>
    <w:rsid w:val="00B23EB3"/>
    <w:rsid w:val="00B26E9E"/>
    <w:rsid w:val="00B325C2"/>
    <w:rsid w:val="00B369C1"/>
    <w:rsid w:val="00B37C1A"/>
    <w:rsid w:val="00B40470"/>
    <w:rsid w:val="00B4182E"/>
    <w:rsid w:val="00B42D15"/>
    <w:rsid w:val="00B5090C"/>
    <w:rsid w:val="00B513DB"/>
    <w:rsid w:val="00B52964"/>
    <w:rsid w:val="00B5562F"/>
    <w:rsid w:val="00B557C9"/>
    <w:rsid w:val="00B57984"/>
    <w:rsid w:val="00B70123"/>
    <w:rsid w:val="00B77D89"/>
    <w:rsid w:val="00B77E18"/>
    <w:rsid w:val="00B8276E"/>
    <w:rsid w:val="00B90ADB"/>
    <w:rsid w:val="00B92622"/>
    <w:rsid w:val="00B92941"/>
    <w:rsid w:val="00B93C7C"/>
    <w:rsid w:val="00B94216"/>
    <w:rsid w:val="00B96561"/>
    <w:rsid w:val="00B9678A"/>
    <w:rsid w:val="00BA0130"/>
    <w:rsid w:val="00BA06BD"/>
    <w:rsid w:val="00BA142C"/>
    <w:rsid w:val="00BA4441"/>
    <w:rsid w:val="00BA4AF7"/>
    <w:rsid w:val="00BB2142"/>
    <w:rsid w:val="00BB3F6F"/>
    <w:rsid w:val="00BB4236"/>
    <w:rsid w:val="00BB44DB"/>
    <w:rsid w:val="00BB4D77"/>
    <w:rsid w:val="00BB64C1"/>
    <w:rsid w:val="00BB71D4"/>
    <w:rsid w:val="00BC1F60"/>
    <w:rsid w:val="00BC3BCD"/>
    <w:rsid w:val="00BD07C6"/>
    <w:rsid w:val="00BD10E4"/>
    <w:rsid w:val="00BD4B5F"/>
    <w:rsid w:val="00BD4D84"/>
    <w:rsid w:val="00BE0BC3"/>
    <w:rsid w:val="00BE78DF"/>
    <w:rsid w:val="00BF0600"/>
    <w:rsid w:val="00BF0B21"/>
    <w:rsid w:val="00BF27B5"/>
    <w:rsid w:val="00BF485C"/>
    <w:rsid w:val="00C01EF9"/>
    <w:rsid w:val="00C0244D"/>
    <w:rsid w:val="00C11089"/>
    <w:rsid w:val="00C117E6"/>
    <w:rsid w:val="00C20468"/>
    <w:rsid w:val="00C3062E"/>
    <w:rsid w:val="00C31E68"/>
    <w:rsid w:val="00C329A3"/>
    <w:rsid w:val="00C361FE"/>
    <w:rsid w:val="00C372E1"/>
    <w:rsid w:val="00C40ED0"/>
    <w:rsid w:val="00C41FA3"/>
    <w:rsid w:val="00C42FE4"/>
    <w:rsid w:val="00C4402C"/>
    <w:rsid w:val="00C4414A"/>
    <w:rsid w:val="00C50E92"/>
    <w:rsid w:val="00C56D3D"/>
    <w:rsid w:val="00C6047F"/>
    <w:rsid w:val="00C6204E"/>
    <w:rsid w:val="00C6760E"/>
    <w:rsid w:val="00C70EB2"/>
    <w:rsid w:val="00C73A66"/>
    <w:rsid w:val="00C74579"/>
    <w:rsid w:val="00C76CF4"/>
    <w:rsid w:val="00C81341"/>
    <w:rsid w:val="00C848C0"/>
    <w:rsid w:val="00C853E9"/>
    <w:rsid w:val="00C90819"/>
    <w:rsid w:val="00C92BD1"/>
    <w:rsid w:val="00CA1832"/>
    <w:rsid w:val="00CA1B76"/>
    <w:rsid w:val="00CA769F"/>
    <w:rsid w:val="00CB3D00"/>
    <w:rsid w:val="00CB7210"/>
    <w:rsid w:val="00CC11D5"/>
    <w:rsid w:val="00CC63E6"/>
    <w:rsid w:val="00CC6A32"/>
    <w:rsid w:val="00CD045B"/>
    <w:rsid w:val="00CD2399"/>
    <w:rsid w:val="00CE1473"/>
    <w:rsid w:val="00CE2E85"/>
    <w:rsid w:val="00CE43D2"/>
    <w:rsid w:val="00CE547C"/>
    <w:rsid w:val="00CE55BD"/>
    <w:rsid w:val="00CE5953"/>
    <w:rsid w:val="00CE6418"/>
    <w:rsid w:val="00CE7CDD"/>
    <w:rsid w:val="00CF02AA"/>
    <w:rsid w:val="00CF1A07"/>
    <w:rsid w:val="00CF2410"/>
    <w:rsid w:val="00CF5068"/>
    <w:rsid w:val="00D00FE7"/>
    <w:rsid w:val="00D03464"/>
    <w:rsid w:val="00D047B0"/>
    <w:rsid w:val="00D05CDA"/>
    <w:rsid w:val="00D07557"/>
    <w:rsid w:val="00D17774"/>
    <w:rsid w:val="00D17E7B"/>
    <w:rsid w:val="00D20299"/>
    <w:rsid w:val="00D24199"/>
    <w:rsid w:val="00D259E8"/>
    <w:rsid w:val="00D25CB3"/>
    <w:rsid w:val="00D26614"/>
    <w:rsid w:val="00D33832"/>
    <w:rsid w:val="00D342D5"/>
    <w:rsid w:val="00D34E8D"/>
    <w:rsid w:val="00D357DA"/>
    <w:rsid w:val="00D3637A"/>
    <w:rsid w:val="00D446AC"/>
    <w:rsid w:val="00D44C52"/>
    <w:rsid w:val="00D45004"/>
    <w:rsid w:val="00D46DAD"/>
    <w:rsid w:val="00D4798C"/>
    <w:rsid w:val="00D505CC"/>
    <w:rsid w:val="00D51646"/>
    <w:rsid w:val="00D52B3B"/>
    <w:rsid w:val="00D54B59"/>
    <w:rsid w:val="00D623E8"/>
    <w:rsid w:val="00D66B18"/>
    <w:rsid w:val="00D67595"/>
    <w:rsid w:val="00D711B6"/>
    <w:rsid w:val="00D8102C"/>
    <w:rsid w:val="00D832D8"/>
    <w:rsid w:val="00D863A7"/>
    <w:rsid w:val="00D87208"/>
    <w:rsid w:val="00D9094F"/>
    <w:rsid w:val="00D97CC9"/>
    <w:rsid w:val="00DA1013"/>
    <w:rsid w:val="00DB0146"/>
    <w:rsid w:val="00DB01D7"/>
    <w:rsid w:val="00DB0716"/>
    <w:rsid w:val="00DB1C24"/>
    <w:rsid w:val="00DB64B7"/>
    <w:rsid w:val="00DC3E96"/>
    <w:rsid w:val="00DC3FA1"/>
    <w:rsid w:val="00DC4AD6"/>
    <w:rsid w:val="00DD0DAB"/>
    <w:rsid w:val="00DD24AC"/>
    <w:rsid w:val="00DE2585"/>
    <w:rsid w:val="00DE3768"/>
    <w:rsid w:val="00DE45E1"/>
    <w:rsid w:val="00DE4897"/>
    <w:rsid w:val="00DE5BEF"/>
    <w:rsid w:val="00DF3D5B"/>
    <w:rsid w:val="00E01BB4"/>
    <w:rsid w:val="00E067CF"/>
    <w:rsid w:val="00E06B87"/>
    <w:rsid w:val="00E0799F"/>
    <w:rsid w:val="00E11256"/>
    <w:rsid w:val="00E13D77"/>
    <w:rsid w:val="00E13F76"/>
    <w:rsid w:val="00E14F6C"/>
    <w:rsid w:val="00E20E81"/>
    <w:rsid w:val="00E230C7"/>
    <w:rsid w:val="00E2505D"/>
    <w:rsid w:val="00E3114A"/>
    <w:rsid w:val="00E3536B"/>
    <w:rsid w:val="00E43BDA"/>
    <w:rsid w:val="00E5139D"/>
    <w:rsid w:val="00E537BF"/>
    <w:rsid w:val="00E5464A"/>
    <w:rsid w:val="00E61D74"/>
    <w:rsid w:val="00E633E0"/>
    <w:rsid w:val="00E676F3"/>
    <w:rsid w:val="00E71CA4"/>
    <w:rsid w:val="00E7220C"/>
    <w:rsid w:val="00E723F0"/>
    <w:rsid w:val="00E727F4"/>
    <w:rsid w:val="00E7286B"/>
    <w:rsid w:val="00E7485E"/>
    <w:rsid w:val="00E74CC9"/>
    <w:rsid w:val="00E75B83"/>
    <w:rsid w:val="00E8002C"/>
    <w:rsid w:val="00E82E60"/>
    <w:rsid w:val="00E82FF0"/>
    <w:rsid w:val="00E8532F"/>
    <w:rsid w:val="00E8578A"/>
    <w:rsid w:val="00E87E2D"/>
    <w:rsid w:val="00E90C15"/>
    <w:rsid w:val="00E915A3"/>
    <w:rsid w:val="00E94227"/>
    <w:rsid w:val="00EA024C"/>
    <w:rsid w:val="00EA22A0"/>
    <w:rsid w:val="00EB173C"/>
    <w:rsid w:val="00EB4CF6"/>
    <w:rsid w:val="00EB79EF"/>
    <w:rsid w:val="00EC0BD7"/>
    <w:rsid w:val="00EC3667"/>
    <w:rsid w:val="00EC40E9"/>
    <w:rsid w:val="00EC47B5"/>
    <w:rsid w:val="00EC4C38"/>
    <w:rsid w:val="00ED6699"/>
    <w:rsid w:val="00EE099F"/>
    <w:rsid w:val="00EE1B73"/>
    <w:rsid w:val="00EE65BE"/>
    <w:rsid w:val="00EF1FB8"/>
    <w:rsid w:val="00EF2B26"/>
    <w:rsid w:val="00EF310C"/>
    <w:rsid w:val="00EF34B8"/>
    <w:rsid w:val="00EF7F7E"/>
    <w:rsid w:val="00F012B1"/>
    <w:rsid w:val="00F14B6E"/>
    <w:rsid w:val="00F249B6"/>
    <w:rsid w:val="00F30A1C"/>
    <w:rsid w:val="00F316F7"/>
    <w:rsid w:val="00F32FEA"/>
    <w:rsid w:val="00F34DDC"/>
    <w:rsid w:val="00F36500"/>
    <w:rsid w:val="00F40052"/>
    <w:rsid w:val="00F41331"/>
    <w:rsid w:val="00F4467D"/>
    <w:rsid w:val="00F53B0E"/>
    <w:rsid w:val="00F555CA"/>
    <w:rsid w:val="00F571C9"/>
    <w:rsid w:val="00F5798D"/>
    <w:rsid w:val="00F657CC"/>
    <w:rsid w:val="00F65F6F"/>
    <w:rsid w:val="00F77C18"/>
    <w:rsid w:val="00F80882"/>
    <w:rsid w:val="00F91CF6"/>
    <w:rsid w:val="00F92164"/>
    <w:rsid w:val="00F92AE9"/>
    <w:rsid w:val="00F96664"/>
    <w:rsid w:val="00FA2D04"/>
    <w:rsid w:val="00FA61D1"/>
    <w:rsid w:val="00FA630B"/>
    <w:rsid w:val="00FA6F2D"/>
    <w:rsid w:val="00FB19A2"/>
    <w:rsid w:val="00FC017B"/>
    <w:rsid w:val="00FC0F9A"/>
    <w:rsid w:val="00FC2B55"/>
    <w:rsid w:val="00FC42EC"/>
    <w:rsid w:val="00FC44D9"/>
    <w:rsid w:val="00FC58C2"/>
    <w:rsid w:val="00FC6B37"/>
    <w:rsid w:val="00FC7E08"/>
    <w:rsid w:val="00FD5379"/>
    <w:rsid w:val="00FE1350"/>
    <w:rsid w:val="00FE5872"/>
    <w:rsid w:val="00FE6871"/>
    <w:rsid w:val="00FF04F7"/>
    <w:rsid w:val="00FF41EB"/>
    <w:rsid w:val="00FF45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56C96"/>
  <w15:chartTrackingRefBased/>
  <w15:docId w15:val="{E0234FB2-86B7-41EA-9C72-64A23720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5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65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65F6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5F6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5F6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5F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5F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5F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5F6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5F6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65F6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65F6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65F6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65F6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65F6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65F6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65F6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65F6F"/>
    <w:rPr>
      <w:rFonts w:eastAsiaTheme="majorEastAsia" w:cstheme="majorBidi"/>
      <w:color w:val="272727" w:themeColor="text1" w:themeTint="D8"/>
    </w:rPr>
  </w:style>
  <w:style w:type="paragraph" w:styleId="Titel">
    <w:name w:val="Title"/>
    <w:basedOn w:val="Normal"/>
    <w:next w:val="Normal"/>
    <w:link w:val="TitelTegn"/>
    <w:uiPriority w:val="10"/>
    <w:qFormat/>
    <w:rsid w:val="00F6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5F6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65F6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65F6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65F6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65F6F"/>
    <w:rPr>
      <w:i/>
      <w:iCs/>
      <w:color w:val="404040" w:themeColor="text1" w:themeTint="BF"/>
    </w:rPr>
  </w:style>
  <w:style w:type="paragraph" w:styleId="Listeafsnit">
    <w:name w:val="List Paragraph"/>
    <w:basedOn w:val="Normal"/>
    <w:uiPriority w:val="34"/>
    <w:qFormat/>
    <w:rsid w:val="00F65F6F"/>
    <w:pPr>
      <w:ind w:left="720"/>
      <w:contextualSpacing/>
    </w:pPr>
  </w:style>
  <w:style w:type="character" w:styleId="Kraftigfremhvning">
    <w:name w:val="Intense Emphasis"/>
    <w:basedOn w:val="Standardskrifttypeiafsnit"/>
    <w:uiPriority w:val="21"/>
    <w:qFormat/>
    <w:rsid w:val="00F65F6F"/>
    <w:rPr>
      <w:i/>
      <w:iCs/>
      <w:color w:val="0F4761" w:themeColor="accent1" w:themeShade="BF"/>
    </w:rPr>
  </w:style>
  <w:style w:type="paragraph" w:styleId="Strktcitat">
    <w:name w:val="Intense Quote"/>
    <w:basedOn w:val="Normal"/>
    <w:next w:val="Normal"/>
    <w:link w:val="StrktcitatTegn"/>
    <w:uiPriority w:val="30"/>
    <w:qFormat/>
    <w:rsid w:val="00F65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65F6F"/>
    <w:rPr>
      <w:i/>
      <w:iCs/>
      <w:color w:val="0F4761" w:themeColor="accent1" w:themeShade="BF"/>
    </w:rPr>
  </w:style>
  <w:style w:type="character" w:styleId="Kraftighenvisning">
    <w:name w:val="Intense Reference"/>
    <w:basedOn w:val="Standardskrifttypeiafsnit"/>
    <w:uiPriority w:val="32"/>
    <w:qFormat/>
    <w:rsid w:val="00F65F6F"/>
    <w:rPr>
      <w:b/>
      <w:bCs/>
      <w:smallCaps/>
      <w:color w:val="0F4761" w:themeColor="accent1" w:themeShade="BF"/>
      <w:spacing w:val="5"/>
    </w:rPr>
  </w:style>
  <w:style w:type="paragraph" w:styleId="Korrektur">
    <w:name w:val="Revision"/>
    <w:hidden/>
    <w:uiPriority w:val="99"/>
    <w:semiHidden/>
    <w:rsid w:val="00F14B6E"/>
    <w:pPr>
      <w:spacing w:after="0" w:line="240" w:lineRule="auto"/>
    </w:pPr>
  </w:style>
  <w:style w:type="paragraph" w:styleId="Sidehoved">
    <w:name w:val="header"/>
    <w:basedOn w:val="Normal"/>
    <w:link w:val="SidehovedTegn"/>
    <w:uiPriority w:val="99"/>
    <w:unhideWhenUsed/>
    <w:rsid w:val="005F4B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F4B43"/>
  </w:style>
  <w:style w:type="paragraph" w:styleId="Sidefod">
    <w:name w:val="footer"/>
    <w:basedOn w:val="Normal"/>
    <w:link w:val="SidefodTegn"/>
    <w:uiPriority w:val="99"/>
    <w:unhideWhenUsed/>
    <w:rsid w:val="005F4B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F4B43"/>
  </w:style>
  <w:style w:type="character" w:styleId="Kommentarhenvisning">
    <w:name w:val="annotation reference"/>
    <w:basedOn w:val="Standardskrifttypeiafsnit"/>
    <w:uiPriority w:val="99"/>
    <w:semiHidden/>
    <w:unhideWhenUsed/>
    <w:rsid w:val="00642A39"/>
    <w:rPr>
      <w:sz w:val="16"/>
      <w:szCs w:val="16"/>
    </w:rPr>
  </w:style>
  <w:style w:type="paragraph" w:styleId="Kommentartekst">
    <w:name w:val="annotation text"/>
    <w:basedOn w:val="Normal"/>
    <w:link w:val="KommentartekstTegn"/>
    <w:uiPriority w:val="99"/>
    <w:unhideWhenUsed/>
    <w:rsid w:val="00642A39"/>
    <w:pPr>
      <w:spacing w:line="240" w:lineRule="auto"/>
    </w:pPr>
    <w:rPr>
      <w:sz w:val="20"/>
      <w:szCs w:val="20"/>
    </w:rPr>
  </w:style>
  <w:style w:type="character" w:customStyle="1" w:styleId="KommentartekstTegn">
    <w:name w:val="Kommentartekst Tegn"/>
    <w:basedOn w:val="Standardskrifttypeiafsnit"/>
    <w:link w:val="Kommentartekst"/>
    <w:uiPriority w:val="99"/>
    <w:rsid w:val="00642A39"/>
    <w:rPr>
      <w:sz w:val="20"/>
      <w:szCs w:val="20"/>
    </w:rPr>
  </w:style>
  <w:style w:type="paragraph" w:styleId="Kommentaremne">
    <w:name w:val="annotation subject"/>
    <w:basedOn w:val="Kommentartekst"/>
    <w:next w:val="Kommentartekst"/>
    <w:link w:val="KommentaremneTegn"/>
    <w:uiPriority w:val="99"/>
    <w:semiHidden/>
    <w:unhideWhenUsed/>
    <w:rsid w:val="00642A39"/>
    <w:rPr>
      <w:b/>
      <w:bCs/>
    </w:rPr>
  </w:style>
  <w:style w:type="character" w:customStyle="1" w:styleId="KommentaremneTegn">
    <w:name w:val="Kommentaremne Tegn"/>
    <w:basedOn w:val="KommentartekstTegn"/>
    <w:link w:val="Kommentaremne"/>
    <w:uiPriority w:val="99"/>
    <w:semiHidden/>
    <w:rsid w:val="00642A39"/>
    <w:rPr>
      <w:b/>
      <w:bCs/>
      <w:sz w:val="20"/>
      <w:szCs w:val="20"/>
    </w:rPr>
  </w:style>
  <w:style w:type="paragraph" w:customStyle="1" w:styleId="pf0">
    <w:name w:val="pf0"/>
    <w:basedOn w:val="Normal"/>
    <w:rsid w:val="00B1541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cf01">
    <w:name w:val="cf01"/>
    <w:basedOn w:val="Standardskrifttypeiafsnit"/>
    <w:rsid w:val="00B15410"/>
    <w:rPr>
      <w:rFonts w:ascii="Segoe UI" w:hAnsi="Segoe UI" w:cs="Segoe UI" w:hint="default"/>
      <w:sz w:val="18"/>
      <w:szCs w:val="18"/>
    </w:rPr>
  </w:style>
  <w:style w:type="paragraph" w:styleId="NormalWeb">
    <w:name w:val="Normal (Web)"/>
    <w:basedOn w:val="Normal"/>
    <w:uiPriority w:val="99"/>
    <w:semiHidden/>
    <w:unhideWhenUsed/>
    <w:rsid w:val="0074348B"/>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743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1715">
      <w:bodyDiv w:val="1"/>
      <w:marLeft w:val="0"/>
      <w:marRight w:val="0"/>
      <w:marTop w:val="0"/>
      <w:marBottom w:val="0"/>
      <w:divBdr>
        <w:top w:val="none" w:sz="0" w:space="0" w:color="auto"/>
        <w:left w:val="none" w:sz="0" w:space="0" w:color="auto"/>
        <w:bottom w:val="none" w:sz="0" w:space="0" w:color="auto"/>
        <w:right w:val="none" w:sz="0" w:space="0" w:color="auto"/>
      </w:divBdr>
    </w:div>
    <w:div w:id="476578383">
      <w:bodyDiv w:val="1"/>
      <w:marLeft w:val="0"/>
      <w:marRight w:val="0"/>
      <w:marTop w:val="0"/>
      <w:marBottom w:val="0"/>
      <w:divBdr>
        <w:top w:val="none" w:sz="0" w:space="0" w:color="auto"/>
        <w:left w:val="none" w:sz="0" w:space="0" w:color="auto"/>
        <w:bottom w:val="none" w:sz="0" w:space="0" w:color="auto"/>
        <w:right w:val="none" w:sz="0" w:space="0" w:color="auto"/>
      </w:divBdr>
    </w:div>
    <w:div w:id="741608006">
      <w:bodyDiv w:val="1"/>
      <w:marLeft w:val="0"/>
      <w:marRight w:val="0"/>
      <w:marTop w:val="0"/>
      <w:marBottom w:val="0"/>
      <w:divBdr>
        <w:top w:val="none" w:sz="0" w:space="0" w:color="auto"/>
        <w:left w:val="none" w:sz="0" w:space="0" w:color="auto"/>
        <w:bottom w:val="none" w:sz="0" w:space="0" w:color="auto"/>
        <w:right w:val="none" w:sz="0" w:space="0" w:color="auto"/>
      </w:divBdr>
    </w:div>
    <w:div w:id="832335629">
      <w:bodyDiv w:val="1"/>
      <w:marLeft w:val="0"/>
      <w:marRight w:val="0"/>
      <w:marTop w:val="0"/>
      <w:marBottom w:val="0"/>
      <w:divBdr>
        <w:top w:val="none" w:sz="0" w:space="0" w:color="auto"/>
        <w:left w:val="none" w:sz="0" w:space="0" w:color="auto"/>
        <w:bottom w:val="none" w:sz="0" w:space="0" w:color="auto"/>
        <w:right w:val="none" w:sz="0" w:space="0" w:color="auto"/>
      </w:divBdr>
    </w:div>
    <w:div w:id="857158297">
      <w:bodyDiv w:val="1"/>
      <w:marLeft w:val="0"/>
      <w:marRight w:val="0"/>
      <w:marTop w:val="0"/>
      <w:marBottom w:val="0"/>
      <w:divBdr>
        <w:top w:val="none" w:sz="0" w:space="0" w:color="auto"/>
        <w:left w:val="none" w:sz="0" w:space="0" w:color="auto"/>
        <w:bottom w:val="none" w:sz="0" w:space="0" w:color="auto"/>
        <w:right w:val="none" w:sz="0" w:space="0" w:color="auto"/>
      </w:divBdr>
    </w:div>
    <w:div w:id="1245071972">
      <w:bodyDiv w:val="1"/>
      <w:marLeft w:val="0"/>
      <w:marRight w:val="0"/>
      <w:marTop w:val="0"/>
      <w:marBottom w:val="0"/>
      <w:divBdr>
        <w:top w:val="none" w:sz="0" w:space="0" w:color="auto"/>
        <w:left w:val="none" w:sz="0" w:space="0" w:color="auto"/>
        <w:bottom w:val="none" w:sz="0" w:space="0" w:color="auto"/>
        <w:right w:val="none" w:sz="0" w:space="0" w:color="auto"/>
      </w:divBdr>
    </w:div>
    <w:div w:id="1267345153">
      <w:bodyDiv w:val="1"/>
      <w:marLeft w:val="0"/>
      <w:marRight w:val="0"/>
      <w:marTop w:val="0"/>
      <w:marBottom w:val="0"/>
      <w:divBdr>
        <w:top w:val="none" w:sz="0" w:space="0" w:color="auto"/>
        <w:left w:val="none" w:sz="0" w:space="0" w:color="auto"/>
        <w:bottom w:val="none" w:sz="0" w:space="0" w:color="auto"/>
        <w:right w:val="none" w:sz="0" w:space="0" w:color="auto"/>
      </w:divBdr>
    </w:div>
    <w:div w:id="1687051518">
      <w:bodyDiv w:val="1"/>
      <w:marLeft w:val="0"/>
      <w:marRight w:val="0"/>
      <w:marTop w:val="0"/>
      <w:marBottom w:val="0"/>
      <w:divBdr>
        <w:top w:val="none" w:sz="0" w:space="0" w:color="auto"/>
        <w:left w:val="none" w:sz="0" w:space="0" w:color="auto"/>
        <w:bottom w:val="none" w:sz="0" w:space="0" w:color="auto"/>
        <w:right w:val="none" w:sz="0" w:space="0" w:color="auto"/>
      </w:divBdr>
    </w:div>
    <w:div w:id="1691368592">
      <w:bodyDiv w:val="1"/>
      <w:marLeft w:val="0"/>
      <w:marRight w:val="0"/>
      <w:marTop w:val="0"/>
      <w:marBottom w:val="0"/>
      <w:divBdr>
        <w:top w:val="none" w:sz="0" w:space="0" w:color="auto"/>
        <w:left w:val="none" w:sz="0" w:space="0" w:color="auto"/>
        <w:bottom w:val="none" w:sz="0" w:space="0" w:color="auto"/>
        <w:right w:val="none" w:sz="0" w:space="0" w:color="auto"/>
      </w:divBdr>
    </w:div>
    <w:div w:id="1778984755">
      <w:bodyDiv w:val="1"/>
      <w:marLeft w:val="0"/>
      <w:marRight w:val="0"/>
      <w:marTop w:val="0"/>
      <w:marBottom w:val="0"/>
      <w:divBdr>
        <w:top w:val="none" w:sz="0" w:space="0" w:color="auto"/>
        <w:left w:val="none" w:sz="0" w:space="0" w:color="auto"/>
        <w:bottom w:val="none" w:sz="0" w:space="0" w:color="auto"/>
        <w:right w:val="none" w:sz="0" w:space="0" w:color="auto"/>
      </w:divBdr>
    </w:div>
    <w:div w:id="1808358354">
      <w:bodyDiv w:val="1"/>
      <w:marLeft w:val="0"/>
      <w:marRight w:val="0"/>
      <w:marTop w:val="0"/>
      <w:marBottom w:val="0"/>
      <w:divBdr>
        <w:top w:val="none" w:sz="0" w:space="0" w:color="auto"/>
        <w:left w:val="none" w:sz="0" w:space="0" w:color="auto"/>
        <w:bottom w:val="none" w:sz="0" w:space="0" w:color="auto"/>
        <w:right w:val="none" w:sz="0" w:space="0" w:color="auto"/>
      </w:divBdr>
    </w:div>
    <w:div w:id="1922832240">
      <w:bodyDiv w:val="1"/>
      <w:marLeft w:val="0"/>
      <w:marRight w:val="0"/>
      <w:marTop w:val="0"/>
      <w:marBottom w:val="0"/>
      <w:divBdr>
        <w:top w:val="none" w:sz="0" w:space="0" w:color="auto"/>
        <w:left w:val="none" w:sz="0" w:space="0" w:color="auto"/>
        <w:bottom w:val="none" w:sz="0" w:space="0" w:color="auto"/>
        <w:right w:val="none" w:sz="0" w:space="0" w:color="auto"/>
      </w:divBdr>
    </w:div>
    <w:div w:id="1975062519">
      <w:bodyDiv w:val="1"/>
      <w:marLeft w:val="0"/>
      <w:marRight w:val="0"/>
      <w:marTop w:val="0"/>
      <w:marBottom w:val="0"/>
      <w:divBdr>
        <w:top w:val="none" w:sz="0" w:space="0" w:color="auto"/>
        <w:left w:val="none" w:sz="0" w:space="0" w:color="auto"/>
        <w:bottom w:val="none" w:sz="0" w:space="0" w:color="auto"/>
        <w:right w:val="none" w:sz="0" w:space="0" w:color="auto"/>
      </w:divBdr>
    </w:div>
    <w:div w:id="2057772459">
      <w:bodyDiv w:val="1"/>
      <w:marLeft w:val="0"/>
      <w:marRight w:val="0"/>
      <w:marTop w:val="0"/>
      <w:marBottom w:val="0"/>
      <w:divBdr>
        <w:top w:val="none" w:sz="0" w:space="0" w:color="auto"/>
        <w:left w:val="none" w:sz="0" w:space="0" w:color="auto"/>
        <w:bottom w:val="none" w:sz="0" w:space="0" w:color="auto"/>
        <w:right w:val="none" w:sz="0" w:space="0" w:color="auto"/>
      </w:divBdr>
    </w:div>
    <w:div w:id="21134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62438C-0EE6-4366-9FC5-E9CB4BC028AF}">
  <we:reference id="6cec9104-4737-421b-a03d-239e5c3d9697" version="1.0.3.0" store="EXCatalog" storeType="EXCatalog"/>
  <we:alternateReferences>
    <we:reference id="WA200007740" version="1.0.3.0" store="da-DK"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7</Pages>
  <Words>1556</Words>
  <Characters>9494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Lea Kolmos Weis LKW</cp:lastModifiedBy>
  <cp:revision>15</cp:revision>
  <dcterms:created xsi:type="dcterms:W3CDTF">2025-11-19T19:36:00Z</dcterms:created>
  <dcterms:modified xsi:type="dcterms:W3CDTF">2025-12-01T09:36:00Z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ckChanges">
    <vt:lpwstr>1</vt:lpwstr>
  </property>
</Properties>
</file>