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065C" w14:textId="513948A4" w:rsidR="001B3E70" w:rsidRPr="0013426C" w:rsidRDefault="00E449B2" w:rsidP="003A2899">
      <w:pPr>
        <w:spacing w:line="276" w:lineRule="auto"/>
        <w:jc w:val="center"/>
        <w:rPr>
          <w:b/>
          <w:bCs/>
          <w:sz w:val="20"/>
          <w:szCs w:val="20"/>
          <w:lang w:val="en-GB"/>
        </w:rPr>
      </w:pPr>
      <w:r w:rsidRPr="0013426C">
        <w:rPr>
          <w:b/>
          <w:bCs/>
          <w:sz w:val="20"/>
          <w:szCs w:val="20"/>
          <w:lang w:val="en-GB"/>
        </w:rPr>
        <w:t xml:space="preserve">Report </w:t>
      </w:r>
      <w:r w:rsidR="00004073" w:rsidRPr="0013426C">
        <w:rPr>
          <w:b/>
          <w:bCs/>
          <w:sz w:val="20"/>
          <w:szCs w:val="20"/>
          <w:lang w:val="en-GB"/>
        </w:rPr>
        <w:t>2</w:t>
      </w:r>
      <w:r w:rsidR="00004073" w:rsidRPr="0013426C">
        <w:rPr>
          <w:b/>
          <w:bCs/>
          <w:sz w:val="20"/>
          <w:szCs w:val="20"/>
          <w:vertAlign w:val="superscript"/>
          <w:lang w:val="en-GB"/>
        </w:rPr>
        <w:t>nd</w:t>
      </w:r>
      <w:r w:rsidR="0011559D" w:rsidRPr="0013426C">
        <w:rPr>
          <w:b/>
          <w:bCs/>
          <w:sz w:val="20"/>
          <w:szCs w:val="20"/>
          <w:lang w:val="en-GB"/>
        </w:rPr>
        <w:t xml:space="preserve"> meeting of FOP</w:t>
      </w:r>
      <w:r w:rsidRPr="0013426C">
        <w:rPr>
          <w:b/>
          <w:bCs/>
          <w:sz w:val="20"/>
          <w:szCs w:val="20"/>
          <w:lang w:val="en-GB"/>
        </w:rPr>
        <w:t xml:space="preserve"> on </w:t>
      </w:r>
      <w:r w:rsidR="0011559D" w:rsidRPr="0013426C">
        <w:rPr>
          <w:b/>
          <w:bCs/>
          <w:sz w:val="20"/>
          <w:szCs w:val="20"/>
          <w:lang w:val="en-GB"/>
        </w:rPr>
        <w:t>DR</w:t>
      </w:r>
      <w:r w:rsidRPr="0013426C">
        <w:rPr>
          <w:b/>
          <w:bCs/>
          <w:sz w:val="20"/>
          <w:szCs w:val="20"/>
          <w:lang w:val="en-GB"/>
        </w:rPr>
        <w:t xml:space="preserve"> 103</w:t>
      </w:r>
    </w:p>
    <w:p w14:paraId="69525A3C" w14:textId="19301B54" w:rsidR="0011559D" w:rsidRPr="0013426C" w:rsidRDefault="0011559D" w:rsidP="00A3448F">
      <w:pPr>
        <w:spacing w:line="276" w:lineRule="auto"/>
        <w:jc w:val="both"/>
        <w:rPr>
          <w:sz w:val="20"/>
          <w:szCs w:val="20"/>
          <w:lang w:val="en-US"/>
        </w:rPr>
      </w:pPr>
      <w:r w:rsidRPr="0013426C">
        <w:rPr>
          <w:sz w:val="20"/>
          <w:szCs w:val="20"/>
          <w:lang w:val="en-US"/>
        </w:rPr>
        <w:t xml:space="preserve">This document constitutes the report of the </w:t>
      </w:r>
      <w:r w:rsidR="008545A7" w:rsidRPr="0013426C">
        <w:rPr>
          <w:sz w:val="20"/>
          <w:szCs w:val="20"/>
          <w:lang w:val="en-US"/>
        </w:rPr>
        <w:t xml:space="preserve">second </w:t>
      </w:r>
      <w:r w:rsidRPr="0013426C">
        <w:rPr>
          <w:sz w:val="20"/>
          <w:szCs w:val="20"/>
          <w:lang w:val="en-US"/>
        </w:rPr>
        <w:t>meeting of the Friends of the President group (“FOP”) on Draft Regulation 103 titled ‘Non-compliance Notice, Suspension, and Termination of Exploitation Contract’ (“DR 103”)</w:t>
      </w:r>
      <w:r w:rsidR="00202DD3" w:rsidRPr="0013426C">
        <w:rPr>
          <w:sz w:val="20"/>
          <w:szCs w:val="20"/>
          <w:lang w:val="en-US"/>
        </w:rPr>
        <w:t xml:space="preserve"> held on </w:t>
      </w:r>
      <w:r w:rsidR="008545A7" w:rsidRPr="0013426C">
        <w:rPr>
          <w:sz w:val="20"/>
          <w:szCs w:val="20"/>
          <w:lang w:val="en-US"/>
        </w:rPr>
        <w:t>12 November</w:t>
      </w:r>
      <w:r w:rsidR="00202DD3" w:rsidRPr="0013426C">
        <w:rPr>
          <w:sz w:val="20"/>
          <w:szCs w:val="20"/>
          <w:lang w:val="en-US"/>
        </w:rPr>
        <w:t xml:space="preserve"> 2025</w:t>
      </w:r>
      <w:r w:rsidRPr="0013426C">
        <w:rPr>
          <w:sz w:val="20"/>
          <w:szCs w:val="20"/>
          <w:lang w:val="en-US"/>
        </w:rPr>
        <w:t xml:space="preserve">. </w:t>
      </w:r>
      <w:r w:rsidR="008545A7" w:rsidRPr="0013426C">
        <w:rPr>
          <w:sz w:val="20"/>
          <w:szCs w:val="20"/>
          <w:lang w:val="en-US"/>
        </w:rPr>
        <w:t xml:space="preserve">This report has been drafted to record discussions and aid participants, especially those that could not attend the meeting, in understanding the views of other participants. </w:t>
      </w:r>
      <w:r w:rsidRPr="0013426C">
        <w:rPr>
          <w:sz w:val="20"/>
          <w:szCs w:val="20"/>
          <w:lang w:val="en-US"/>
        </w:rPr>
        <w:t>For reasons discussed during the calls, the participants’ interventions have been anonymized. This report is without prejudice to further discussions. Th</w:t>
      </w:r>
      <w:r w:rsidR="001866D8" w:rsidRPr="0013426C">
        <w:rPr>
          <w:sz w:val="20"/>
          <w:szCs w:val="20"/>
          <w:lang w:val="en-US"/>
        </w:rPr>
        <w:t xml:space="preserve">e </w:t>
      </w:r>
      <w:r w:rsidR="00E90287" w:rsidRPr="0013426C">
        <w:rPr>
          <w:sz w:val="20"/>
          <w:szCs w:val="20"/>
          <w:lang w:val="en-US"/>
        </w:rPr>
        <w:t>organizers</w:t>
      </w:r>
      <w:r w:rsidR="001866D8" w:rsidRPr="0013426C">
        <w:rPr>
          <w:sz w:val="20"/>
          <w:szCs w:val="20"/>
          <w:lang w:val="en-US"/>
        </w:rPr>
        <w:t xml:space="preserve"> stress that comments on their </w:t>
      </w:r>
      <w:r w:rsidRPr="0013426C">
        <w:rPr>
          <w:sz w:val="20"/>
          <w:szCs w:val="20"/>
          <w:lang w:val="en-US"/>
        </w:rPr>
        <w:t xml:space="preserve">observations </w:t>
      </w:r>
      <w:r w:rsidR="001866D8" w:rsidRPr="0013426C">
        <w:rPr>
          <w:sz w:val="20"/>
          <w:szCs w:val="20"/>
          <w:lang w:val="en-US"/>
        </w:rPr>
        <w:t xml:space="preserve">are welcome and their observations are also </w:t>
      </w:r>
      <w:r w:rsidRPr="0013426C">
        <w:rPr>
          <w:sz w:val="20"/>
          <w:szCs w:val="20"/>
          <w:lang w:val="en-US"/>
        </w:rPr>
        <w:t>subject to discussion in the FOP meetings</w:t>
      </w:r>
      <w:r w:rsidR="001866D8" w:rsidRPr="0013426C">
        <w:rPr>
          <w:sz w:val="20"/>
          <w:szCs w:val="20"/>
          <w:lang w:val="en-US"/>
        </w:rPr>
        <w:t xml:space="preserve">. </w:t>
      </w:r>
    </w:p>
    <w:p w14:paraId="73A44189" w14:textId="77777777" w:rsidR="008545A7" w:rsidRPr="0013426C" w:rsidRDefault="008545A7" w:rsidP="008545A7">
      <w:pPr>
        <w:pStyle w:val="Heading1"/>
        <w:rPr>
          <w:sz w:val="20"/>
          <w:szCs w:val="20"/>
          <w:lang w:val="en-GB"/>
        </w:rPr>
      </w:pPr>
      <w:r w:rsidRPr="0013426C">
        <w:rPr>
          <w:sz w:val="20"/>
          <w:szCs w:val="20"/>
          <w:lang w:val="en-GB"/>
        </w:rPr>
        <w:t>Discussion of Example National Enforcement Strategy (max. 15 mins)</w:t>
      </w:r>
    </w:p>
    <w:p w14:paraId="7FBDE451" w14:textId="148CC67C" w:rsidR="009441C2" w:rsidRPr="0013426C" w:rsidRDefault="009441C2" w:rsidP="005A7242">
      <w:pPr>
        <w:rPr>
          <w:sz w:val="20"/>
          <w:szCs w:val="20"/>
          <w:lang w:val="en-GB"/>
        </w:rPr>
      </w:pPr>
      <w:r w:rsidRPr="0013426C">
        <w:rPr>
          <w:sz w:val="20"/>
          <w:szCs w:val="20"/>
          <w:lang w:val="en-GB"/>
        </w:rPr>
        <w:t xml:space="preserve">In previous meetings some participants stated that it would be good to have objective criteria to determine how to act commensurate. </w:t>
      </w:r>
      <w:r w:rsidR="00063279">
        <w:rPr>
          <w:sz w:val="20"/>
          <w:szCs w:val="20"/>
          <w:lang w:val="en-GB"/>
        </w:rPr>
        <w:t xml:space="preserve">For that reason, the organizers shared the National Enforcement Strategy of the Netherlands. </w:t>
      </w:r>
      <w:r w:rsidRPr="0013426C">
        <w:rPr>
          <w:sz w:val="20"/>
          <w:szCs w:val="20"/>
          <w:lang w:val="en-GB"/>
        </w:rPr>
        <w:t>The organizer</w:t>
      </w:r>
      <w:r w:rsidR="006B1B86" w:rsidRPr="0013426C">
        <w:rPr>
          <w:sz w:val="20"/>
          <w:szCs w:val="20"/>
          <w:lang w:val="en-GB"/>
        </w:rPr>
        <w:t>s</w:t>
      </w:r>
      <w:r w:rsidRPr="0013426C">
        <w:rPr>
          <w:sz w:val="20"/>
          <w:szCs w:val="20"/>
          <w:lang w:val="en-GB"/>
        </w:rPr>
        <w:t xml:space="preserve"> explained how the strategy worked:</w:t>
      </w:r>
    </w:p>
    <w:p w14:paraId="2FFD0FA6" w14:textId="2B7137CA" w:rsidR="009441C2" w:rsidRPr="0013426C" w:rsidRDefault="009441C2" w:rsidP="009441C2">
      <w:pPr>
        <w:pStyle w:val="ListParagraph"/>
        <w:numPr>
          <w:ilvl w:val="0"/>
          <w:numId w:val="9"/>
        </w:numPr>
        <w:rPr>
          <w:sz w:val="20"/>
          <w:szCs w:val="20"/>
          <w:lang w:val="en-GB"/>
        </w:rPr>
      </w:pPr>
      <w:r w:rsidRPr="0013426C">
        <w:rPr>
          <w:sz w:val="20"/>
          <w:szCs w:val="20"/>
          <w:lang w:val="en-GB"/>
        </w:rPr>
        <w:t xml:space="preserve">First step: Determining where to place the breach on the severity matrix. This matrix is based on the consequences of the breach and the behaviour and intent of the perpetrator. The strategy also names the factors that aid in objectively determining the severity of a breach. </w:t>
      </w:r>
    </w:p>
    <w:p w14:paraId="50B147F7" w14:textId="5EA30BE4" w:rsidR="009441C2" w:rsidRPr="0013426C" w:rsidRDefault="009441C2" w:rsidP="009441C2">
      <w:pPr>
        <w:pStyle w:val="ListParagraph"/>
        <w:numPr>
          <w:ilvl w:val="0"/>
          <w:numId w:val="10"/>
        </w:numPr>
        <w:spacing w:line="278" w:lineRule="auto"/>
        <w:rPr>
          <w:sz w:val="20"/>
          <w:szCs w:val="20"/>
          <w:lang w:val="en-GB"/>
        </w:rPr>
      </w:pPr>
      <w:r w:rsidRPr="0013426C">
        <w:rPr>
          <w:sz w:val="20"/>
          <w:szCs w:val="20"/>
          <w:lang w:val="en-GB"/>
        </w:rPr>
        <w:t xml:space="preserve">Second step: Deciding on a measure that is commensurate with the severity of the breach. In doing so the compliance officer </w:t>
      </w:r>
      <w:r w:rsidR="0069751B" w:rsidRPr="0013426C">
        <w:rPr>
          <w:sz w:val="20"/>
          <w:szCs w:val="20"/>
          <w:lang w:val="en-GB"/>
        </w:rPr>
        <w:t>considers</w:t>
      </w:r>
      <w:r w:rsidRPr="0013426C">
        <w:rPr>
          <w:sz w:val="20"/>
          <w:szCs w:val="20"/>
          <w:lang w:val="en-GB"/>
        </w:rPr>
        <w:t xml:space="preserve"> mitigating facts and circumstances not included in determining severity of the breach. The strategy is to start with the lightest possible intervention aimed at recovery/compliance, heavier measures are considered if lighter intervention </w:t>
      </w:r>
      <w:r w:rsidR="0069751B" w:rsidRPr="0013426C">
        <w:rPr>
          <w:sz w:val="20"/>
          <w:szCs w:val="20"/>
          <w:lang w:val="en-GB"/>
        </w:rPr>
        <w:t>failed</w:t>
      </w:r>
      <w:r w:rsidRPr="0013426C">
        <w:rPr>
          <w:sz w:val="20"/>
          <w:szCs w:val="20"/>
          <w:lang w:val="en-GB"/>
        </w:rPr>
        <w:t xml:space="preserve"> at ensuring compliance. </w:t>
      </w:r>
    </w:p>
    <w:p w14:paraId="52C05FBE" w14:textId="77777777" w:rsidR="009441C2" w:rsidRPr="0013426C" w:rsidRDefault="009441C2" w:rsidP="009441C2">
      <w:pPr>
        <w:pStyle w:val="ListParagraph"/>
        <w:numPr>
          <w:ilvl w:val="0"/>
          <w:numId w:val="10"/>
        </w:numPr>
        <w:spacing w:line="278" w:lineRule="auto"/>
        <w:rPr>
          <w:sz w:val="20"/>
          <w:szCs w:val="20"/>
          <w:lang w:val="en-GB"/>
        </w:rPr>
      </w:pPr>
      <w:r w:rsidRPr="0013426C">
        <w:rPr>
          <w:sz w:val="20"/>
          <w:szCs w:val="20"/>
          <w:lang w:val="en-GB"/>
        </w:rPr>
        <w:t xml:space="preserve">The strategy also includes a timeline on when compliance should be achieved, this depends on which rule has been breached. </w:t>
      </w:r>
    </w:p>
    <w:p w14:paraId="592130F6" w14:textId="51E1A5D0" w:rsidR="009441C2" w:rsidRPr="0013426C" w:rsidRDefault="009441C2" w:rsidP="009441C2">
      <w:pPr>
        <w:spacing w:line="278" w:lineRule="auto"/>
        <w:rPr>
          <w:sz w:val="20"/>
          <w:szCs w:val="20"/>
          <w:lang w:val="en-GB"/>
        </w:rPr>
      </w:pPr>
      <w:r w:rsidRPr="0013426C">
        <w:rPr>
          <w:sz w:val="20"/>
          <w:szCs w:val="20"/>
          <w:lang w:val="en-GB"/>
        </w:rPr>
        <w:t>The organizers expressed the hope that this document could inspire participants</w:t>
      </w:r>
      <w:r w:rsidR="0033740D">
        <w:rPr>
          <w:sz w:val="20"/>
          <w:szCs w:val="20"/>
          <w:lang w:val="en-GB"/>
        </w:rPr>
        <w:t>.</w:t>
      </w:r>
    </w:p>
    <w:p w14:paraId="5823EC24" w14:textId="77777777" w:rsidR="009441C2" w:rsidRPr="0013426C" w:rsidRDefault="009441C2" w:rsidP="009441C2">
      <w:pPr>
        <w:pStyle w:val="Heading1"/>
        <w:rPr>
          <w:rFonts w:eastAsia="Times New Roman"/>
          <w:sz w:val="20"/>
          <w:szCs w:val="20"/>
          <w:lang w:val="en-GB"/>
        </w:rPr>
      </w:pPr>
      <w:r w:rsidRPr="0013426C">
        <w:rPr>
          <w:rFonts w:eastAsia="Times New Roman"/>
          <w:sz w:val="20"/>
          <w:szCs w:val="20"/>
          <w:lang w:val="en-GB"/>
        </w:rPr>
        <w:t xml:space="preserve">Discussion of draft skeleton DR 103 </w:t>
      </w:r>
    </w:p>
    <w:p w14:paraId="77284583" w14:textId="4CF7B742" w:rsidR="006B1B86" w:rsidRPr="0013426C" w:rsidRDefault="0033740D" w:rsidP="006B1B86">
      <w:pPr>
        <w:rPr>
          <w:sz w:val="20"/>
          <w:szCs w:val="20"/>
          <w:lang w:val="en-GB"/>
        </w:rPr>
      </w:pPr>
      <w:r>
        <w:rPr>
          <w:sz w:val="20"/>
          <w:szCs w:val="20"/>
          <w:lang w:val="en-GB"/>
        </w:rPr>
        <w:t>The organizers recalled the following points made during the previous meeting</w:t>
      </w:r>
      <w:r w:rsidR="0013426C" w:rsidRPr="0013426C">
        <w:rPr>
          <w:sz w:val="20"/>
          <w:szCs w:val="20"/>
          <w:lang w:val="en-GB"/>
        </w:rPr>
        <w:t xml:space="preserve">: </w:t>
      </w:r>
    </w:p>
    <w:p w14:paraId="56BDDD3A" w14:textId="77777777" w:rsidR="0013426C" w:rsidRPr="0013426C" w:rsidRDefault="0013426C" w:rsidP="0013426C">
      <w:pPr>
        <w:pStyle w:val="ListParagraph"/>
        <w:numPr>
          <w:ilvl w:val="0"/>
          <w:numId w:val="18"/>
        </w:numPr>
        <w:rPr>
          <w:sz w:val="20"/>
          <w:szCs w:val="20"/>
          <w:lang w:val="en-GB"/>
        </w:rPr>
      </w:pPr>
      <w:r w:rsidRPr="0013426C">
        <w:rPr>
          <w:sz w:val="20"/>
          <w:szCs w:val="20"/>
          <w:lang w:val="en-GB"/>
        </w:rPr>
        <w:t>P</w:t>
      </w:r>
      <w:r w:rsidR="006B1B86" w:rsidRPr="0013426C">
        <w:rPr>
          <w:sz w:val="20"/>
          <w:szCs w:val="20"/>
          <w:lang w:val="en-GB"/>
        </w:rPr>
        <w:t>articipants consider</w:t>
      </w:r>
      <w:r w:rsidRPr="0013426C">
        <w:rPr>
          <w:sz w:val="20"/>
          <w:szCs w:val="20"/>
          <w:lang w:val="en-GB"/>
        </w:rPr>
        <w:t>ed</w:t>
      </w:r>
      <w:r w:rsidR="006B1B86" w:rsidRPr="0013426C">
        <w:rPr>
          <w:sz w:val="20"/>
          <w:szCs w:val="20"/>
          <w:lang w:val="en-GB"/>
        </w:rPr>
        <w:t xml:space="preserve"> legal certainty for contractors to be very important, everyone needs to know what kind of measures can be taken in case of non-compliance. The previous draft did not provide a list of enforcement tools, but now DR 103bis (1) gives a list of measures that can be taken or recommended</w:t>
      </w:r>
      <w:r w:rsidRPr="0013426C">
        <w:rPr>
          <w:sz w:val="20"/>
          <w:szCs w:val="20"/>
          <w:lang w:val="en-GB"/>
        </w:rPr>
        <w:t xml:space="preserve">. </w:t>
      </w:r>
    </w:p>
    <w:p w14:paraId="762BD702" w14:textId="01044109" w:rsidR="0013426C" w:rsidRPr="0013426C" w:rsidRDefault="006B1B86" w:rsidP="006B1B86">
      <w:pPr>
        <w:pStyle w:val="ListParagraph"/>
        <w:numPr>
          <w:ilvl w:val="0"/>
          <w:numId w:val="18"/>
        </w:numPr>
        <w:rPr>
          <w:sz w:val="20"/>
          <w:szCs w:val="20"/>
          <w:lang w:val="en-GB"/>
        </w:rPr>
      </w:pPr>
      <w:r w:rsidRPr="0013426C">
        <w:rPr>
          <w:sz w:val="20"/>
          <w:szCs w:val="20"/>
          <w:lang w:val="en-GB"/>
        </w:rPr>
        <w:t xml:space="preserve">The organizers also noted comments about the need to distinguish between measures that the Compliance Committee can take on its own and measures that it </w:t>
      </w:r>
      <w:r w:rsidR="0033740D">
        <w:rPr>
          <w:sz w:val="20"/>
          <w:szCs w:val="20"/>
          <w:lang w:val="en-GB"/>
        </w:rPr>
        <w:t>must</w:t>
      </w:r>
      <w:r w:rsidRPr="0013426C">
        <w:rPr>
          <w:sz w:val="20"/>
          <w:szCs w:val="20"/>
          <w:lang w:val="en-GB"/>
        </w:rPr>
        <w:t xml:space="preserve"> recommend to the Council. The organizers </w:t>
      </w:r>
      <w:r w:rsidR="0033740D">
        <w:rPr>
          <w:sz w:val="20"/>
          <w:szCs w:val="20"/>
          <w:lang w:val="en-GB"/>
        </w:rPr>
        <w:t>noted shared</w:t>
      </w:r>
      <w:r w:rsidRPr="0013426C">
        <w:rPr>
          <w:sz w:val="20"/>
          <w:szCs w:val="20"/>
          <w:lang w:val="en-GB"/>
        </w:rPr>
        <w:t xml:space="preserve"> views that the Compliance Committee cannot take the most intrusive measures on its own account,</w:t>
      </w:r>
      <w:r w:rsidR="0033740D">
        <w:rPr>
          <w:sz w:val="20"/>
          <w:szCs w:val="20"/>
          <w:lang w:val="en-GB"/>
        </w:rPr>
        <w:t xml:space="preserve"> while it should be able to take </w:t>
      </w:r>
      <w:r w:rsidRPr="0013426C">
        <w:rPr>
          <w:sz w:val="20"/>
          <w:szCs w:val="20"/>
          <w:lang w:val="en-GB"/>
        </w:rPr>
        <w:t xml:space="preserve">lighter measures </w:t>
      </w:r>
      <w:r w:rsidR="0033740D">
        <w:rPr>
          <w:sz w:val="20"/>
          <w:szCs w:val="20"/>
          <w:lang w:val="en-GB"/>
        </w:rPr>
        <w:t>by itself</w:t>
      </w:r>
      <w:r w:rsidRPr="0013426C">
        <w:rPr>
          <w:sz w:val="20"/>
          <w:szCs w:val="20"/>
          <w:lang w:val="en-GB"/>
        </w:rPr>
        <w:t xml:space="preserve">. </w:t>
      </w:r>
    </w:p>
    <w:p w14:paraId="005F2482" w14:textId="7660AF23" w:rsidR="006B1B86" w:rsidRDefault="006B1B86" w:rsidP="006B1B86">
      <w:pPr>
        <w:pStyle w:val="ListParagraph"/>
        <w:numPr>
          <w:ilvl w:val="0"/>
          <w:numId w:val="18"/>
        </w:numPr>
        <w:rPr>
          <w:sz w:val="20"/>
          <w:szCs w:val="20"/>
          <w:lang w:val="en-GB"/>
        </w:rPr>
      </w:pPr>
      <w:r w:rsidRPr="0013426C">
        <w:rPr>
          <w:sz w:val="20"/>
          <w:szCs w:val="20"/>
          <w:lang w:val="en-GB"/>
        </w:rPr>
        <w:t xml:space="preserve">The organizers also noted a wish among participants for better guidance on how to act proportionally to a breach and the objective factors that should guide this. This is reflected in paragraphs 2 and 3 of DR 103. </w:t>
      </w:r>
    </w:p>
    <w:p w14:paraId="71AB1539" w14:textId="77777777" w:rsidR="0033740D" w:rsidRDefault="0033740D" w:rsidP="0033740D">
      <w:pPr>
        <w:rPr>
          <w:sz w:val="20"/>
          <w:szCs w:val="20"/>
          <w:lang w:val="en-GB"/>
        </w:rPr>
      </w:pPr>
    </w:p>
    <w:p w14:paraId="27F7B04A" w14:textId="77777777" w:rsidR="0033740D" w:rsidRPr="0033740D" w:rsidRDefault="0033740D" w:rsidP="0033740D">
      <w:pPr>
        <w:rPr>
          <w:sz w:val="20"/>
          <w:szCs w:val="20"/>
          <w:lang w:val="en-GB"/>
        </w:rPr>
      </w:pPr>
    </w:p>
    <w:p w14:paraId="10AEC7A5" w14:textId="3D626615" w:rsidR="006B1B86" w:rsidRPr="00054214" w:rsidRDefault="006B1B86" w:rsidP="006B1B86">
      <w:pPr>
        <w:rPr>
          <w:b/>
          <w:bCs/>
          <w:sz w:val="20"/>
          <w:szCs w:val="20"/>
          <w:u w:val="single"/>
          <w:lang w:val="en-US"/>
        </w:rPr>
      </w:pPr>
      <w:r w:rsidRPr="00054214">
        <w:rPr>
          <w:b/>
          <w:bCs/>
          <w:sz w:val="20"/>
          <w:szCs w:val="20"/>
          <w:u w:val="single"/>
          <w:lang w:val="en-US"/>
        </w:rPr>
        <w:lastRenderedPageBreak/>
        <w:t xml:space="preserve">General </w:t>
      </w:r>
      <w:r w:rsidR="00054214">
        <w:rPr>
          <w:b/>
          <w:bCs/>
          <w:sz w:val="20"/>
          <w:szCs w:val="20"/>
          <w:u w:val="single"/>
          <w:lang w:val="en-US"/>
        </w:rPr>
        <w:t>c</w:t>
      </w:r>
      <w:r w:rsidRPr="00054214">
        <w:rPr>
          <w:b/>
          <w:bCs/>
          <w:sz w:val="20"/>
          <w:szCs w:val="20"/>
          <w:u w:val="single"/>
          <w:lang w:val="en-US"/>
        </w:rPr>
        <w:t xml:space="preserve">omments on Draft Skeleton </w:t>
      </w:r>
    </w:p>
    <w:p w14:paraId="1918265C" w14:textId="7AF58461" w:rsidR="00054214" w:rsidRPr="0013426C" w:rsidRDefault="00054214" w:rsidP="00054214">
      <w:pPr>
        <w:pStyle w:val="ListParagraph"/>
        <w:numPr>
          <w:ilvl w:val="0"/>
          <w:numId w:val="11"/>
        </w:numPr>
        <w:rPr>
          <w:sz w:val="20"/>
          <w:szCs w:val="20"/>
          <w:lang w:val="en-GB"/>
        </w:rPr>
      </w:pPr>
      <w:r>
        <w:rPr>
          <w:sz w:val="20"/>
          <w:szCs w:val="20"/>
          <w:lang w:val="en-GB"/>
        </w:rPr>
        <w:t>Upon the organizers’ inquiry, participants affirmed that l</w:t>
      </w:r>
      <w:r w:rsidRPr="0013426C">
        <w:rPr>
          <w:sz w:val="20"/>
          <w:szCs w:val="20"/>
          <w:lang w:val="en-GB"/>
        </w:rPr>
        <w:t xml:space="preserve">ess intrusive measures may be taken by the Compliance Committee, while other measures should first be recommended to the Council. </w:t>
      </w:r>
      <w:r>
        <w:rPr>
          <w:sz w:val="20"/>
          <w:szCs w:val="20"/>
          <w:lang w:val="en-GB"/>
        </w:rPr>
        <w:t>At the same time, t</w:t>
      </w:r>
      <w:r w:rsidR="00BA2A55" w:rsidRPr="0013426C">
        <w:rPr>
          <w:sz w:val="20"/>
          <w:szCs w:val="20"/>
          <w:lang w:val="en-GB"/>
        </w:rPr>
        <w:t xml:space="preserve">here </w:t>
      </w:r>
      <w:r>
        <w:rPr>
          <w:sz w:val="20"/>
          <w:szCs w:val="20"/>
          <w:lang w:val="en-GB"/>
        </w:rPr>
        <w:t>is</w:t>
      </w:r>
      <w:r w:rsidR="00BA2A55" w:rsidRPr="0013426C">
        <w:rPr>
          <w:sz w:val="20"/>
          <w:szCs w:val="20"/>
          <w:lang w:val="en-GB"/>
        </w:rPr>
        <w:t xml:space="preserve"> wide agreement on the need to more clearly delineate which measures the Compliance Committee would be able to take by itself and which measures would need to be recommended to the Council first. </w:t>
      </w:r>
      <w:r w:rsidRPr="0013426C">
        <w:rPr>
          <w:sz w:val="20"/>
          <w:szCs w:val="20"/>
          <w:lang w:val="en-GB"/>
        </w:rPr>
        <w:t xml:space="preserve">The Draft Skeleton </w:t>
      </w:r>
      <w:r>
        <w:rPr>
          <w:sz w:val="20"/>
          <w:szCs w:val="20"/>
          <w:lang w:val="en-GB"/>
        </w:rPr>
        <w:t>did</w:t>
      </w:r>
      <w:r w:rsidRPr="0013426C">
        <w:rPr>
          <w:sz w:val="20"/>
          <w:szCs w:val="20"/>
          <w:lang w:val="en-GB"/>
        </w:rPr>
        <w:t xml:space="preserve"> not provide a clear enough delineation between these two types of measures. </w:t>
      </w:r>
    </w:p>
    <w:p w14:paraId="5225DBA5" w14:textId="0F29F816" w:rsidR="00BA2A55" w:rsidRPr="0013426C" w:rsidRDefault="00BA2A55" w:rsidP="00BA2A55">
      <w:pPr>
        <w:pStyle w:val="ListParagraph"/>
        <w:numPr>
          <w:ilvl w:val="0"/>
          <w:numId w:val="11"/>
        </w:numPr>
        <w:rPr>
          <w:sz w:val="20"/>
          <w:szCs w:val="20"/>
          <w:lang w:val="en-GB"/>
        </w:rPr>
      </w:pPr>
      <w:r w:rsidRPr="0013426C">
        <w:rPr>
          <w:sz w:val="20"/>
          <w:szCs w:val="20"/>
          <w:lang w:val="en-GB"/>
        </w:rPr>
        <w:t xml:space="preserve">Some participants expressed concern about the fact that in previous drafts the compliance notice appeared much earlier in the text. In the current draft </w:t>
      </w:r>
      <w:r w:rsidR="00950FCB">
        <w:rPr>
          <w:sz w:val="20"/>
          <w:szCs w:val="20"/>
          <w:lang w:val="en-GB"/>
        </w:rPr>
        <w:t>the Non-Compliance Notice</w:t>
      </w:r>
      <w:r w:rsidRPr="0013426C">
        <w:rPr>
          <w:sz w:val="20"/>
          <w:szCs w:val="20"/>
          <w:lang w:val="en-GB"/>
        </w:rPr>
        <w:t xml:space="preserve"> has been moved down. </w:t>
      </w:r>
      <w:r w:rsidR="00950FCB">
        <w:rPr>
          <w:sz w:val="20"/>
          <w:szCs w:val="20"/>
          <w:lang w:val="en-GB"/>
        </w:rPr>
        <w:t>The organizers stated to reverse this.</w:t>
      </w:r>
    </w:p>
    <w:p w14:paraId="58B96A81" w14:textId="0EAB3CA1" w:rsidR="00E55E92" w:rsidRPr="0013426C" w:rsidRDefault="00E55E92" w:rsidP="00BA2A55">
      <w:pPr>
        <w:pStyle w:val="ListParagraph"/>
        <w:numPr>
          <w:ilvl w:val="0"/>
          <w:numId w:val="11"/>
        </w:numPr>
        <w:rPr>
          <w:sz w:val="20"/>
          <w:szCs w:val="20"/>
          <w:lang w:val="en-GB"/>
        </w:rPr>
      </w:pPr>
      <w:r w:rsidRPr="0013426C">
        <w:rPr>
          <w:sz w:val="20"/>
          <w:szCs w:val="20"/>
          <w:lang w:val="en-GB"/>
        </w:rPr>
        <w:t xml:space="preserve">Other participants raised the issue of how the LTC will take part in the enforcement phase. There is a need to think about how the Compliance Committee and LTC will work together to support the work of the Council. </w:t>
      </w:r>
    </w:p>
    <w:p w14:paraId="6524124D" w14:textId="497AE631" w:rsidR="00EF6C14" w:rsidRPr="00054214" w:rsidRDefault="00054214" w:rsidP="00E55E92">
      <w:pPr>
        <w:suppressAutoHyphens/>
        <w:spacing w:after="0" w:line="240" w:lineRule="exact"/>
        <w:rPr>
          <w:b/>
          <w:bCs/>
          <w:sz w:val="20"/>
          <w:szCs w:val="20"/>
          <w:u w:val="single"/>
          <w:lang w:val="en-GB"/>
        </w:rPr>
      </w:pPr>
      <w:r w:rsidRPr="00054214">
        <w:rPr>
          <w:b/>
          <w:bCs/>
          <w:sz w:val="20"/>
          <w:szCs w:val="20"/>
          <w:u w:val="single"/>
          <w:lang w:val="en-GB"/>
        </w:rPr>
        <w:t>Responses to particular questions</w:t>
      </w:r>
    </w:p>
    <w:p w14:paraId="7A806C0E" w14:textId="77777777" w:rsidR="00054214" w:rsidRPr="0013426C" w:rsidRDefault="00054214" w:rsidP="00E55E92">
      <w:pPr>
        <w:suppressAutoHyphens/>
        <w:spacing w:after="0" w:line="240" w:lineRule="exact"/>
        <w:rPr>
          <w:b/>
          <w:bCs/>
          <w:sz w:val="20"/>
          <w:szCs w:val="20"/>
          <w:lang w:val="en-GB"/>
        </w:rPr>
      </w:pPr>
    </w:p>
    <w:p w14:paraId="6C1A7DB2" w14:textId="38E5B3B8" w:rsidR="00054214" w:rsidRDefault="00054214" w:rsidP="00E55E92">
      <w:pPr>
        <w:suppressAutoHyphens/>
        <w:spacing w:after="0" w:line="240" w:lineRule="exact"/>
        <w:rPr>
          <w:b/>
          <w:bCs/>
          <w:sz w:val="20"/>
          <w:szCs w:val="20"/>
          <w:lang w:val="en-GB"/>
        </w:rPr>
      </w:pPr>
      <w:r w:rsidRPr="00054214">
        <w:rPr>
          <w:b/>
          <w:bCs/>
          <w:sz w:val="20"/>
          <w:szCs w:val="20"/>
          <w:lang w:val="en-GB"/>
        </w:rPr>
        <w:t>DR 103</w:t>
      </w:r>
    </w:p>
    <w:p w14:paraId="451D0C3E" w14:textId="77777777" w:rsidR="00054214" w:rsidRPr="00054214" w:rsidRDefault="00054214" w:rsidP="00E55E92">
      <w:pPr>
        <w:suppressAutoHyphens/>
        <w:spacing w:after="0" w:line="240" w:lineRule="exact"/>
        <w:rPr>
          <w:b/>
          <w:bCs/>
          <w:sz w:val="20"/>
          <w:szCs w:val="20"/>
          <w:lang w:val="en-GB"/>
        </w:rPr>
      </w:pPr>
    </w:p>
    <w:p w14:paraId="1409F180" w14:textId="55A9BF3D" w:rsidR="00E55E92" w:rsidRPr="0013426C" w:rsidRDefault="00E55E92" w:rsidP="00E55E92">
      <w:pPr>
        <w:suppressAutoHyphens/>
        <w:spacing w:after="0" w:line="240" w:lineRule="exact"/>
        <w:rPr>
          <w:b/>
          <w:bCs/>
          <w:i/>
          <w:iCs/>
          <w:sz w:val="20"/>
          <w:szCs w:val="20"/>
          <w:lang w:val="en-GB"/>
        </w:rPr>
      </w:pPr>
      <w:r w:rsidRPr="0013426C">
        <w:rPr>
          <w:b/>
          <w:bCs/>
          <w:i/>
          <w:iCs/>
          <w:sz w:val="20"/>
          <w:szCs w:val="20"/>
          <w:lang w:val="en-GB"/>
        </w:rPr>
        <w:t xml:space="preserve">Q: Do participants agree with including a Regulation upfront in which clarity is given on how the Compliance Committee acts with proportionality? </w:t>
      </w:r>
    </w:p>
    <w:p w14:paraId="7401F667" w14:textId="0FDD5CF0" w:rsidR="006B1B86" w:rsidRPr="00054214" w:rsidRDefault="00E55E92" w:rsidP="00054214">
      <w:pPr>
        <w:rPr>
          <w:sz w:val="20"/>
          <w:szCs w:val="20"/>
          <w:lang w:val="en-GB"/>
        </w:rPr>
      </w:pPr>
      <w:r w:rsidRPr="00054214">
        <w:rPr>
          <w:sz w:val="20"/>
          <w:szCs w:val="20"/>
          <w:lang w:val="en-GB"/>
        </w:rPr>
        <w:t xml:space="preserve">Some participants voiced doubts about whether proportionality should be addressed so early on. While they understand the importance of proportionality, they stressed that it would be good to first clearly set out the tasks of the Compliance Committee. </w:t>
      </w:r>
    </w:p>
    <w:p w14:paraId="1254AF41" w14:textId="77777777" w:rsidR="00426F30" w:rsidRPr="0013426C" w:rsidRDefault="00426F30" w:rsidP="00426F30">
      <w:pPr>
        <w:suppressAutoHyphens/>
        <w:spacing w:after="0" w:line="240" w:lineRule="exact"/>
        <w:rPr>
          <w:b/>
          <w:bCs/>
          <w:i/>
          <w:iCs/>
          <w:sz w:val="20"/>
          <w:szCs w:val="20"/>
          <w:lang w:val="en-GB"/>
        </w:rPr>
      </w:pPr>
      <w:r w:rsidRPr="0013426C">
        <w:rPr>
          <w:b/>
          <w:bCs/>
          <w:i/>
          <w:iCs/>
          <w:sz w:val="20"/>
          <w:szCs w:val="20"/>
          <w:lang w:val="en-US"/>
        </w:rPr>
        <w:t xml:space="preserve">Q: </w:t>
      </w:r>
      <w:r w:rsidRPr="0013426C">
        <w:rPr>
          <w:b/>
          <w:bCs/>
          <w:i/>
          <w:iCs/>
          <w:sz w:val="20"/>
          <w:szCs w:val="20"/>
          <w:lang w:val="en-GB"/>
        </w:rPr>
        <w:t xml:space="preserve">Do participants wish to include a reference to Guidelines on Enforcement by the Compliance Committee, similar to national examples? </w:t>
      </w:r>
    </w:p>
    <w:p w14:paraId="698A8397" w14:textId="4F71A3E7" w:rsidR="00426F30" w:rsidRPr="00054214" w:rsidRDefault="00426F30" w:rsidP="00054214">
      <w:pPr>
        <w:suppressAutoHyphens/>
        <w:spacing w:after="0" w:line="240" w:lineRule="exact"/>
        <w:rPr>
          <w:sz w:val="20"/>
          <w:szCs w:val="20"/>
          <w:lang w:val="en-GB"/>
        </w:rPr>
      </w:pPr>
      <w:r w:rsidRPr="00054214">
        <w:rPr>
          <w:sz w:val="20"/>
          <w:szCs w:val="20"/>
          <w:lang w:val="en-GB"/>
        </w:rPr>
        <w:t xml:space="preserve">Participants observed that </w:t>
      </w:r>
      <w:r w:rsidRPr="00054214">
        <w:rPr>
          <w:sz w:val="20"/>
          <w:szCs w:val="20"/>
          <w:lang w:val="en-US"/>
        </w:rPr>
        <w:t>the current draft strikes a good balance between setting out the proportionality factors and not being t</w:t>
      </w:r>
      <w:r w:rsidR="009E328C" w:rsidRPr="00054214">
        <w:rPr>
          <w:sz w:val="20"/>
          <w:szCs w:val="20"/>
          <w:lang w:val="en-US"/>
        </w:rPr>
        <w:t>o</w:t>
      </w:r>
      <w:r w:rsidRPr="00054214">
        <w:rPr>
          <w:sz w:val="20"/>
          <w:szCs w:val="20"/>
          <w:lang w:val="en-US"/>
        </w:rPr>
        <w:t>o prescriptive.</w:t>
      </w:r>
      <w:r w:rsidR="00054214">
        <w:rPr>
          <w:sz w:val="20"/>
          <w:szCs w:val="20"/>
          <w:lang w:val="en-GB"/>
        </w:rPr>
        <w:t xml:space="preserve"> </w:t>
      </w:r>
      <w:r w:rsidRPr="00054214">
        <w:rPr>
          <w:sz w:val="20"/>
          <w:szCs w:val="20"/>
          <w:lang w:val="en-GB"/>
        </w:rPr>
        <w:t xml:space="preserve">Some participants noted that the </w:t>
      </w:r>
      <w:r w:rsidRPr="00054214">
        <w:rPr>
          <w:sz w:val="20"/>
          <w:szCs w:val="20"/>
          <w:lang w:val="en-US"/>
        </w:rPr>
        <w:t xml:space="preserve">aggravating and mitigating factors could profit of more clarity. </w:t>
      </w:r>
      <w:r w:rsidR="00054214">
        <w:rPr>
          <w:sz w:val="20"/>
          <w:szCs w:val="20"/>
          <w:lang w:val="en-US"/>
        </w:rPr>
        <w:t>They</w:t>
      </w:r>
      <w:r w:rsidR="009E328C" w:rsidRPr="00054214">
        <w:rPr>
          <w:sz w:val="20"/>
          <w:szCs w:val="20"/>
          <w:lang w:val="en-US"/>
        </w:rPr>
        <w:t xml:space="preserve"> raised that </w:t>
      </w:r>
      <w:r w:rsidR="00054214">
        <w:rPr>
          <w:sz w:val="20"/>
          <w:szCs w:val="20"/>
          <w:lang w:val="en-US"/>
        </w:rPr>
        <w:t>such aggravating and mitigating factors</w:t>
      </w:r>
      <w:r w:rsidR="009E328C" w:rsidRPr="00054214">
        <w:rPr>
          <w:sz w:val="20"/>
          <w:szCs w:val="20"/>
          <w:lang w:val="en-US"/>
        </w:rPr>
        <w:t xml:space="preserve"> might be better suit</w:t>
      </w:r>
      <w:r w:rsidR="0013426C" w:rsidRPr="00054214">
        <w:rPr>
          <w:sz w:val="20"/>
          <w:szCs w:val="20"/>
          <w:lang w:val="en-US"/>
        </w:rPr>
        <w:t>ed</w:t>
      </w:r>
      <w:r w:rsidR="009E328C" w:rsidRPr="00054214">
        <w:rPr>
          <w:sz w:val="20"/>
          <w:szCs w:val="20"/>
          <w:lang w:val="en-US"/>
        </w:rPr>
        <w:t xml:space="preserve"> to determining the severity of the breach. </w:t>
      </w:r>
    </w:p>
    <w:p w14:paraId="145351A5" w14:textId="77777777" w:rsidR="00EF6C14" w:rsidRPr="0013426C" w:rsidRDefault="00EF6C14" w:rsidP="00EF6C14">
      <w:pPr>
        <w:suppressAutoHyphens/>
        <w:spacing w:after="0" w:line="240" w:lineRule="exact"/>
        <w:rPr>
          <w:sz w:val="20"/>
          <w:szCs w:val="20"/>
          <w:lang w:val="en-GB"/>
        </w:rPr>
      </w:pPr>
    </w:p>
    <w:p w14:paraId="0B83E8A9" w14:textId="0945D014" w:rsidR="00EF6C14" w:rsidRPr="0013426C" w:rsidRDefault="00054214" w:rsidP="00EF6C14">
      <w:pPr>
        <w:suppressAutoHyphens/>
        <w:spacing w:after="0" w:line="240" w:lineRule="exact"/>
        <w:rPr>
          <w:b/>
          <w:bCs/>
          <w:sz w:val="20"/>
          <w:szCs w:val="20"/>
          <w:lang w:val="en-GB"/>
        </w:rPr>
      </w:pPr>
      <w:r>
        <w:rPr>
          <w:b/>
          <w:bCs/>
          <w:sz w:val="20"/>
          <w:szCs w:val="20"/>
          <w:lang w:val="en-GB"/>
        </w:rPr>
        <w:t>DR</w:t>
      </w:r>
      <w:r w:rsidR="00EF6C14" w:rsidRPr="0013426C">
        <w:rPr>
          <w:b/>
          <w:bCs/>
          <w:sz w:val="20"/>
          <w:szCs w:val="20"/>
          <w:lang w:val="en-GB"/>
        </w:rPr>
        <w:t xml:space="preserve"> 103bis</w:t>
      </w:r>
    </w:p>
    <w:p w14:paraId="7FEE6FA1" w14:textId="77777777" w:rsidR="00EF6C14" w:rsidRPr="0013426C" w:rsidRDefault="00EF6C14" w:rsidP="00EF6C14">
      <w:pPr>
        <w:suppressAutoHyphens/>
        <w:spacing w:after="0" w:line="240" w:lineRule="exact"/>
        <w:rPr>
          <w:sz w:val="20"/>
          <w:szCs w:val="20"/>
          <w:lang w:val="en-GB"/>
        </w:rPr>
      </w:pPr>
    </w:p>
    <w:p w14:paraId="16936C26" w14:textId="1281C033" w:rsidR="00EF6C14" w:rsidRPr="00054214" w:rsidRDefault="00EF6C14" w:rsidP="00054214">
      <w:pPr>
        <w:suppressAutoHyphens/>
        <w:spacing w:after="0" w:line="240" w:lineRule="exact"/>
        <w:rPr>
          <w:sz w:val="20"/>
          <w:szCs w:val="20"/>
          <w:lang w:val="en-GB"/>
        </w:rPr>
      </w:pPr>
      <w:r w:rsidRPr="00054214">
        <w:rPr>
          <w:sz w:val="20"/>
          <w:szCs w:val="20"/>
          <w:lang w:val="en-GB"/>
        </w:rPr>
        <w:t xml:space="preserve">The organizers noted that much of the earlier general comments related to the list given under this article. There seems to be agreement that the list does not make a sufficiently clear distinction between measures the Compliance Committee can take by itself and which it can only recommend to the Council. Moreover, the role of the LTC in some of these measures needs to be better reflected. </w:t>
      </w:r>
    </w:p>
    <w:p w14:paraId="723028C0" w14:textId="77777777" w:rsidR="00EF6C14" w:rsidRPr="0013426C" w:rsidRDefault="00EF6C14" w:rsidP="00EF6C14">
      <w:pPr>
        <w:suppressAutoHyphens/>
        <w:spacing w:after="0" w:line="240" w:lineRule="exact"/>
        <w:rPr>
          <w:b/>
          <w:bCs/>
          <w:sz w:val="20"/>
          <w:szCs w:val="20"/>
          <w:lang w:val="en-GB"/>
        </w:rPr>
      </w:pPr>
    </w:p>
    <w:p w14:paraId="2DDF1CC2" w14:textId="782936B2" w:rsidR="00EF6C14" w:rsidRPr="0013426C" w:rsidRDefault="00EF6C14" w:rsidP="00EF6C14">
      <w:pPr>
        <w:suppressAutoHyphens/>
        <w:spacing w:after="0" w:line="240" w:lineRule="exact"/>
        <w:rPr>
          <w:b/>
          <w:bCs/>
          <w:i/>
          <w:iCs/>
          <w:sz w:val="20"/>
          <w:szCs w:val="20"/>
          <w:lang w:val="en-GB"/>
        </w:rPr>
      </w:pPr>
      <w:r w:rsidRPr="0013426C">
        <w:rPr>
          <w:b/>
          <w:bCs/>
          <w:sz w:val="20"/>
          <w:szCs w:val="20"/>
          <w:lang w:val="en-GB"/>
        </w:rPr>
        <w:t xml:space="preserve">Q: </w:t>
      </w:r>
      <w:r w:rsidRPr="0013426C">
        <w:rPr>
          <w:b/>
          <w:bCs/>
          <w:i/>
          <w:iCs/>
          <w:sz w:val="20"/>
          <w:szCs w:val="20"/>
          <w:lang w:val="en-GB"/>
        </w:rPr>
        <w:t xml:space="preserve">Do participants think that the RRPs should contain a specific list of measures the Compliance Committee has at its disposal? </w:t>
      </w:r>
    </w:p>
    <w:p w14:paraId="10117EEB" w14:textId="3A48735D" w:rsidR="00EF6C14" w:rsidRPr="00054214" w:rsidRDefault="00054214" w:rsidP="00054214">
      <w:pPr>
        <w:suppressAutoHyphens/>
        <w:spacing w:after="0" w:line="240" w:lineRule="exact"/>
        <w:rPr>
          <w:sz w:val="20"/>
          <w:szCs w:val="20"/>
          <w:lang w:val="en-GB"/>
        </w:rPr>
      </w:pPr>
      <w:r w:rsidRPr="00054214">
        <w:rPr>
          <w:sz w:val="20"/>
          <w:szCs w:val="20"/>
          <w:lang w:val="en-GB"/>
        </w:rPr>
        <w:t>P</w:t>
      </w:r>
      <w:r w:rsidR="00EF6C14" w:rsidRPr="00054214">
        <w:rPr>
          <w:sz w:val="20"/>
          <w:szCs w:val="20"/>
          <w:lang w:val="en-GB"/>
        </w:rPr>
        <w:t>articipant</w:t>
      </w:r>
      <w:r w:rsidRPr="00054214">
        <w:rPr>
          <w:sz w:val="20"/>
          <w:szCs w:val="20"/>
          <w:lang w:val="en-GB"/>
        </w:rPr>
        <w:t>s</w:t>
      </w:r>
      <w:r w:rsidR="00EF6C14" w:rsidRPr="00054214">
        <w:rPr>
          <w:sz w:val="20"/>
          <w:szCs w:val="20"/>
          <w:lang w:val="en-GB"/>
        </w:rPr>
        <w:t xml:space="preserve"> stated that it was important to have transparency and foreseeability, so a specific list is desirable. Moreover, it would be better to have it more on the exhaustive side. </w:t>
      </w:r>
      <w:r w:rsidR="0069751B" w:rsidRPr="00054214">
        <w:rPr>
          <w:sz w:val="20"/>
          <w:szCs w:val="20"/>
          <w:lang w:val="en-GB"/>
        </w:rPr>
        <w:t>However,</w:t>
      </w:r>
      <w:r w:rsidR="00EF6C14" w:rsidRPr="00054214">
        <w:rPr>
          <w:sz w:val="20"/>
          <w:szCs w:val="20"/>
          <w:lang w:val="en-GB"/>
        </w:rPr>
        <w:t xml:space="preserve"> it should not be too detailed </w:t>
      </w:r>
      <w:r w:rsidR="0069751B" w:rsidRPr="00054214">
        <w:rPr>
          <w:sz w:val="20"/>
          <w:szCs w:val="20"/>
          <w:lang w:val="en-GB"/>
        </w:rPr>
        <w:t>to</w:t>
      </w:r>
      <w:r w:rsidR="00EF6C14" w:rsidRPr="00054214">
        <w:rPr>
          <w:sz w:val="20"/>
          <w:szCs w:val="20"/>
          <w:lang w:val="en-GB"/>
        </w:rPr>
        <w:t xml:space="preserve"> still allow some flexibility for the Compliance Committee or Council to tailor measures to the situation at hand.</w:t>
      </w:r>
    </w:p>
    <w:p w14:paraId="76D91493" w14:textId="641EF223" w:rsidR="0002235A" w:rsidRPr="00054214" w:rsidRDefault="0002235A" w:rsidP="00054214">
      <w:pPr>
        <w:suppressAutoHyphens/>
        <w:spacing w:after="0" w:line="240" w:lineRule="exact"/>
        <w:rPr>
          <w:sz w:val="20"/>
          <w:szCs w:val="20"/>
          <w:lang w:val="en-GB"/>
        </w:rPr>
      </w:pPr>
      <w:r w:rsidRPr="00054214">
        <w:rPr>
          <w:sz w:val="20"/>
          <w:szCs w:val="20"/>
          <w:lang w:val="en-GB"/>
        </w:rPr>
        <w:t xml:space="preserve">Other participants argued that there should be a clear distinction made between </w:t>
      </w:r>
      <w:r w:rsidR="00054214" w:rsidRPr="00054214">
        <w:rPr>
          <w:sz w:val="20"/>
          <w:szCs w:val="20"/>
          <w:lang w:val="en-GB"/>
        </w:rPr>
        <w:t>different categories of measures</w:t>
      </w:r>
      <w:r w:rsidRPr="00054214">
        <w:rPr>
          <w:sz w:val="20"/>
          <w:szCs w:val="20"/>
          <w:lang w:val="en-GB"/>
        </w:rPr>
        <w:t xml:space="preserve">. </w:t>
      </w:r>
      <w:r w:rsidR="00054214" w:rsidRPr="00054214">
        <w:rPr>
          <w:sz w:val="20"/>
          <w:szCs w:val="20"/>
          <w:lang w:val="en-GB"/>
        </w:rPr>
        <w:t>More detail on the use of such measures by the Compliance Committee should be included in Standards.</w:t>
      </w:r>
      <w:r w:rsidRPr="00054214">
        <w:rPr>
          <w:sz w:val="20"/>
          <w:szCs w:val="20"/>
          <w:lang w:val="en-GB"/>
        </w:rPr>
        <w:t xml:space="preserve"> </w:t>
      </w:r>
    </w:p>
    <w:p w14:paraId="3BD6B6DB" w14:textId="77777777" w:rsidR="00EF6C14" w:rsidRPr="0013426C" w:rsidRDefault="00EF6C14" w:rsidP="00EF6C14">
      <w:pPr>
        <w:suppressAutoHyphens/>
        <w:spacing w:after="0" w:line="240" w:lineRule="exact"/>
        <w:rPr>
          <w:b/>
          <w:bCs/>
          <w:sz w:val="20"/>
          <w:szCs w:val="20"/>
          <w:lang w:val="en-GB"/>
        </w:rPr>
      </w:pPr>
    </w:p>
    <w:p w14:paraId="7F927B93" w14:textId="319BC1D8" w:rsidR="0002235A" w:rsidRPr="0013426C" w:rsidRDefault="0002235A" w:rsidP="0002235A">
      <w:pPr>
        <w:suppressAutoHyphens/>
        <w:spacing w:after="0" w:line="240" w:lineRule="exact"/>
        <w:rPr>
          <w:b/>
          <w:bCs/>
          <w:sz w:val="20"/>
          <w:szCs w:val="20"/>
          <w:lang w:val="en-GB"/>
        </w:rPr>
      </w:pPr>
      <w:r w:rsidRPr="0013426C">
        <w:rPr>
          <w:b/>
          <w:bCs/>
          <w:sz w:val="20"/>
          <w:szCs w:val="20"/>
          <w:lang w:val="en-GB"/>
        </w:rPr>
        <w:t>Regulations 103ter</w:t>
      </w:r>
    </w:p>
    <w:p w14:paraId="53644B36" w14:textId="17E6C2F9" w:rsidR="0002235A" w:rsidRPr="00054214" w:rsidRDefault="0002235A" w:rsidP="00054214">
      <w:pPr>
        <w:suppressAutoHyphens/>
        <w:spacing w:after="0" w:line="240" w:lineRule="exact"/>
        <w:rPr>
          <w:sz w:val="20"/>
          <w:szCs w:val="20"/>
          <w:lang w:val="en-GB"/>
        </w:rPr>
      </w:pPr>
      <w:r w:rsidRPr="00054214">
        <w:rPr>
          <w:sz w:val="20"/>
          <w:szCs w:val="20"/>
          <w:lang w:val="en-GB"/>
        </w:rPr>
        <w:t>No comments from participants</w:t>
      </w:r>
      <w:r w:rsidR="00054214">
        <w:rPr>
          <w:sz w:val="20"/>
          <w:szCs w:val="20"/>
          <w:lang w:val="en-GB"/>
        </w:rPr>
        <w:t>. The o</w:t>
      </w:r>
      <w:r w:rsidRPr="00054214">
        <w:rPr>
          <w:sz w:val="20"/>
          <w:szCs w:val="20"/>
          <w:lang w:val="en-GB"/>
        </w:rPr>
        <w:t>rganizers did not</w:t>
      </w:r>
      <w:r w:rsidR="001602AD" w:rsidRPr="00054214">
        <w:rPr>
          <w:sz w:val="20"/>
          <w:szCs w:val="20"/>
          <w:lang w:val="en-GB"/>
        </w:rPr>
        <w:t xml:space="preserve">e </w:t>
      </w:r>
      <w:r w:rsidRPr="00054214">
        <w:rPr>
          <w:sz w:val="20"/>
          <w:szCs w:val="20"/>
          <w:lang w:val="en-GB"/>
        </w:rPr>
        <w:t xml:space="preserve">that earlier general comments on the position of the compliance notice </w:t>
      </w:r>
      <w:r w:rsidR="001602AD" w:rsidRPr="00054214">
        <w:rPr>
          <w:sz w:val="20"/>
          <w:szCs w:val="20"/>
          <w:lang w:val="en-GB"/>
        </w:rPr>
        <w:t xml:space="preserve">in the text </w:t>
      </w:r>
      <w:r w:rsidRPr="00054214">
        <w:rPr>
          <w:sz w:val="20"/>
          <w:szCs w:val="20"/>
          <w:lang w:val="en-GB"/>
        </w:rPr>
        <w:t xml:space="preserve">relate to this question. </w:t>
      </w:r>
    </w:p>
    <w:p w14:paraId="179F4CF0" w14:textId="77777777" w:rsidR="0002235A" w:rsidRDefault="0002235A" w:rsidP="0002235A">
      <w:pPr>
        <w:suppressAutoHyphens/>
        <w:spacing w:after="0" w:line="240" w:lineRule="exact"/>
        <w:rPr>
          <w:sz w:val="20"/>
          <w:szCs w:val="20"/>
          <w:lang w:val="en-GB"/>
        </w:rPr>
      </w:pPr>
    </w:p>
    <w:p w14:paraId="4C241E3B" w14:textId="77777777" w:rsidR="00054214" w:rsidRPr="0013426C" w:rsidRDefault="00054214" w:rsidP="0002235A">
      <w:pPr>
        <w:suppressAutoHyphens/>
        <w:spacing w:after="0" w:line="240" w:lineRule="exact"/>
        <w:rPr>
          <w:sz w:val="20"/>
          <w:szCs w:val="20"/>
          <w:lang w:val="en-GB"/>
        </w:rPr>
      </w:pPr>
    </w:p>
    <w:p w14:paraId="517BA775" w14:textId="77777777" w:rsidR="0002235A" w:rsidRPr="0013426C" w:rsidRDefault="0002235A" w:rsidP="0002235A">
      <w:pPr>
        <w:pStyle w:val="NoSpacing"/>
        <w:spacing w:line="276" w:lineRule="auto"/>
        <w:rPr>
          <w:rFonts w:ascii="Verdana" w:hAnsi="Verdana" w:cs="Times New Roman"/>
          <w:b/>
          <w:bCs/>
          <w:sz w:val="20"/>
          <w:szCs w:val="20"/>
          <w:lang w:val="en-GB"/>
        </w:rPr>
      </w:pPr>
      <w:r w:rsidRPr="0013426C">
        <w:rPr>
          <w:rFonts w:ascii="Verdana" w:hAnsi="Verdana" w:cs="Times New Roman"/>
          <w:b/>
          <w:bCs/>
          <w:sz w:val="20"/>
          <w:szCs w:val="20"/>
          <w:lang w:val="en-GB"/>
        </w:rPr>
        <w:lastRenderedPageBreak/>
        <w:t>Regulation 103quat</w:t>
      </w:r>
    </w:p>
    <w:p w14:paraId="2A9CDFCF" w14:textId="77777777" w:rsidR="001602AD" w:rsidRPr="0013426C" w:rsidRDefault="001602AD" w:rsidP="001602AD">
      <w:pPr>
        <w:suppressAutoHyphens/>
        <w:spacing w:after="0" w:line="240" w:lineRule="exact"/>
        <w:rPr>
          <w:sz w:val="20"/>
          <w:szCs w:val="20"/>
          <w:lang w:val="en-GB"/>
        </w:rPr>
      </w:pPr>
    </w:p>
    <w:p w14:paraId="5F42C617" w14:textId="372B2FED" w:rsidR="001602AD" w:rsidRPr="0013426C" w:rsidRDefault="001602AD" w:rsidP="001602AD">
      <w:pPr>
        <w:suppressAutoHyphens/>
        <w:spacing w:after="0" w:line="240" w:lineRule="exact"/>
        <w:rPr>
          <w:b/>
          <w:bCs/>
          <w:i/>
          <w:iCs/>
          <w:sz w:val="20"/>
          <w:szCs w:val="20"/>
          <w:lang w:val="en-GB"/>
        </w:rPr>
      </w:pPr>
      <w:r w:rsidRPr="0013426C">
        <w:rPr>
          <w:b/>
          <w:bCs/>
          <w:i/>
          <w:iCs/>
          <w:sz w:val="20"/>
          <w:szCs w:val="20"/>
          <w:lang w:val="en-GB"/>
        </w:rPr>
        <w:t xml:space="preserve">Q: Do participants agree the Environmental Performance Guarantee should not be the means of recourse for remedial payments? </w:t>
      </w:r>
    </w:p>
    <w:p w14:paraId="77F4DC8C" w14:textId="567A75A6" w:rsidR="001602AD" w:rsidRPr="00A625E5" w:rsidRDefault="00A625E5" w:rsidP="00A625E5">
      <w:pPr>
        <w:suppressAutoHyphens/>
        <w:spacing w:after="0" w:line="240" w:lineRule="exact"/>
        <w:rPr>
          <w:sz w:val="20"/>
          <w:szCs w:val="20"/>
          <w:lang w:val="en-GB"/>
        </w:rPr>
      </w:pPr>
      <w:r>
        <w:rPr>
          <w:sz w:val="20"/>
          <w:szCs w:val="20"/>
          <w:lang w:val="en-GB"/>
        </w:rPr>
        <w:t xml:space="preserve">It was </w:t>
      </w:r>
      <w:r w:rsidR="001602AD" w:rsidRPr="00A625E5">
        <w:rPr>
          <w:sz w:val="20"/>
          <w:szCs w:val="20"/>
          <w:lang w:val="en-GB"/>
        </w:rPr>
        <w:t>noted that th</w:t>
      </w:r>
      <w:r>
        <w:rPr>
          <w:sz w:val="20"/>
          <w:szCs w:val="20"/>
          <w:lang w:val="en-GB"/>
        </w:rPr>
        <w:t>e answer</w:t>
      </w:r>
      <w:r w:rsidR="001602AD" w:rsidRPr="00A625E5">
        <w:rPr>
          <w:sz w:val="20"/>
          <w:szCs w:val="20"/>
          <w:lang w:val="en-GB"/>
        </w:rPr>
        <w:t xml:space="preserve"> would depend on the nature of the non-compliance. If compliance is based on a wilful violation it may not be suitable, but if compliance is the result of unintended reason it may be more suitable. </w:t>
      </w:r>
    </w:p>
    <w:p w14:paraId="547F6A35" w14:textId="77777777" w:rsidR="0002235A" w:rsidRPr="0013426C" w:rsidRDefault="0002235A" w:rsidP="0002235A">
      <w:pPr>
        <w:suppressAutoHyphens/>
        <w:spacing w:after="0" w:line="240" w:lineRule="exact"/>
        <w:rPr>
          <w:i/>
          <w:iCs/>
          <w:sz w:val="20"/>
          <w:szCs w:val="20"/>
          <w:lang w:val="en-GB"/>
        </w:rPr>
      </w:pPr>
    </w:p>
    <w:p w14:paraId="5D24A507" w14:textId="77777777" w:rsidR="001602AD" w:rsidRPr="0013426C" w:rsidRDefault="001602AD" w:rsidP="001602AD">
      <w:pPr>
        <w:pStyle w:val="NoSpacing"/>
        <w:spacing w:line="276" w:lineRule="auto"/>
        <w:rPr>
          <w:rFonts w:ascii="Verdana" w:hAnsi="Verdana" w:cs="Times New Roman"/>
          <w:b/>
          <w:bCs/>
          <w:color w:val="000000" w:themeColor="text1"/>
          <w:sz w:val="20"/>
          <w:szCs w:val="20"/>
          <w:lang w:val="en-GB"/>
        </w:rPr>
      </w:pPr>
      <w:r w:rsidRPr="0013426C">
        <w:rPr>
          <w:rFonts w:ascii="Verdana" w:hAnsi="Verdana" w:cs="Times New Roman"/>
          <w:b/>
          <w:bCs/>
          <w:color w:val="000000" w:themeColor="text1"/>
          <w:sz w:val="20"/>
          <w:szCs w:val="20"/>
          <w:lang w:val="en-GB"/>
        </w:rPr>
        <w:t>Regulation 103quin</w:t>
      </w:r>
    </w:p>
    <w:p w14:paraId="4A24B94C" w14:textId="5F6C1C79" w:rsidR="001602AD" w:rsidRPr="0013426C" w:rsidRDefault="00A625E5" w:rsidP="00A625E5">
      <w:pPr>
        <w:pStyle w:val="NoSpacing"/>
        <w:spacing w:line="276" w:lineRule="auto"/>
        <w:rPr>
          <w:rFonts w:ascii="Verdana" w:hAnsi="Verdana" w:cs="Times New Roman"/>
          <w:color w:val="000000" w:themeColor="text1"/>
          <w:sz w:val="20"/>
          <w:szCs w:val="20"/>
          <w:lang w:val="en-GB"/>
        </w:rPr>
      </w:pPr>
      <w:r>
        <w:rPr>
          <w:rFonts w:ascii="Verdana" w:hAnsi="Verdana" w:cs="Times New Roman"/>
          <w:color w:val="000000" w:themeColor="text1"/>
          <w:sz w:val="20"/>
          <w:szCs w:val="20"/>
          <w:lang w:val="en-GB"/>
        </w:rPr>
        <w:t>The o</w:t>
      </w:r>
      <w:r w:rsidR="001602AD" w:rsidRPr="0013426C">
        <w:rPr>
          <w:rFonts w:ascii="Verdana" w:hAnsi="Verdana" w:cs="Times New Roman"/>
          <w:color w:val="000000" w:themeColor="text1"/>
          <w:sz w:val="20"/>
          <w:szCs w:val="20"/>
          <w:lang w:val="en-GB"/>
        </w:rPr>
        <w:t>rganizers park</w:t>
      </w:r>
      <w:r>
        <w:rPr>
          <w:rFonts w:ascii="Verdana" w:hAnsi="Verdana" w:cs="Times New Roman"/>
          <w:color w:val="000000" w:themeColor="text1"/>
          <w:sz w:val="20"/>
          <w:szCs w:val="20"/>
          <w:lang w:val="en-GB"/>
        </w:rPr>
        <w:t>ed</w:t>
      </w:r>
      <w:r w:rsidR="001602AD" w:rsidRPr="0013426C">
        <w:rPr>
          <w:rFonts w:ascii="Verdana" w:hAnsi="Verdana" w:cs="Times New Roman"/>
          <w:color w:val="000000" w:themeColor="text1"/>
          <w:sz w:val="20"/>
          <w:szCs w:val="20"/>
          <w:lang w:val="en-GB"/>
        </w:rPr>
        <w:t xml:space="preserve"> this </w:t>
      </w:r>
      <w:r>
        <w:rPr>
          <w:rFonts w:ascii="Verdana" w:hAnsi="Verdana" w:cs="Times New Roman"/>
          <w:color w:val="000000" w:themeColor="text1"/>
          <w:sz w:val="20"/>
          <w:szCs w:val="20"/>
          <w:lang w:val="en-GB"/>
        </w:rPr>
        <w:t>regulation</w:t>
      </w:r>
      <w:r w:rsidR="001602AD" w:rsidRPr="0013426C">
        <w:rPr>
          <w:rFonts w:ascii="Verdana" w:hAnsi="Verdana" w:cs="Times New Roman"/>
          <w:color w:val="000000" w:themeColor="text1"/>
          <w:sz w:val="20"/>
          <w:szCs w:val="20"/>
          <w:lang w:val="en-GB"/>
        </w:rPr>
        <w:t xml:space="preserve"> for later discussion. </w:t>
      </w:r>
    </w:p>
    <w:p w14:paraId="2A48A253" w14:textId="45A60E34" w:rsidR="0002235A" w:rsidRPr="0013426C" w:rsidRDefault="0002235A" w:rsidP="0002235A">
      <w:pPr>
        <w:pStyle w:val="NoSpacing"/>
        <w:spacing w:line="276" w:lineRule="auto"/>
        <w:rPr>
          <w:rFonts w:ascii="Verdana" w:hAnsi="Verdana" w:cs="Times New Roman"/>
          <w:b/>
          <w:bCs/>
          <w:sz w:val="20"/>
          <w:szCs w:val="20"/>
          <w:lang w:val="en-GB"/>
        </w:rPr>
      </w:pPr>
    </w:p>
    <w:p w14:paraId="40F7E018" w14:textId="77777777" w:rsidR="001602AD" w:rsidRPr="0013426C" w:rsidRDefault="001602AD" w:rsidP="001602AD">
      <w:pPr>
        <w:pStyle w:val="NoSpacing"/>
        <w:spacing w:line="276" w:lineRule="auto"/>
        <w:rPr>
          <w:rFonts w:ascii="Verdana" w:hAnsi="Verdana" w:cs="Times New Roman"/>
          <w:b/>
          <w:bCs/>
          <w:sz w:val="20"/>
          <w:szCs w:val="20"/>
          <w:lang w:val="en-GB"/>
        </w:rPr>
      </w:pPr>
      <w:r w:rsidRPr="0013426C">
        <w:rPr>
          <w:rFonts w:ascii="Verdana" w:hAnsi="Verdana" w:cs="Times New Roman"/>
          <w:b/>
          <w:bCs/>
          <w:sz w:val="20"/>
          <w:szCs w:val="20"/>
          <w:lang w:val="en-GB"/>
        </w:rPr>
        <w:t>Regulation 103septies</w:t>
      </w:r>
    </w:p>
    <w:p w14:paraId="0F83E1D7" w14:textId="23B6C441" w:rsidR="0002235A" w:rsidRPr="00A625E5" w:rsidRDefault="00A625E5" w:rsidP="00A625E5">
      <w:pPr>
        <w:suppressAutoHyphens/>
        <w:spacing w:after="0" w:line="240" w:lineRule="exact"/>
        <w:rPr>
          <w:sz w:val="20"/>
          <w:szCs w:val="20"/>
          <w:lang w:val="en-GB"/>
        </w:rPr>
      </w:pPr>
      <w:r>
        <w:rPr>
          <w:sz w:val="20"/>
          <w:szCs w:val="20"/>
          <w:lang w:val="en-GB"/>
        </w:rPr>
        <w:t>The o</w:t>
      </w:r>
      <w:r w:rsidR="001602AD" w:rsidRPr="00A625E5">
        <w:rPr>
          <w:sz w:val="20"/>
          <w:szCs w:val="20"/>
          <w:lang w:val="en-GB"/>
        </w:rPr>
        <w:t>rganizers noted that further discussion was needed on the cooperation between the Compliance Committee and the LTC, especially when it comes to emergency orders</w:t>
      </w:r>
      <w:r w:rsidR="003A2899" w:rsidRPr="00A625E5">
        <w:rPr>
          <w:sz w:val="20"/>
          <w:szCs w:val="20"/>
          <w:lang w:val="en-GB"/>
        </w:rPr>
        <w:t xml:space="preserve"> and that the relationship between these two organs needs to be clarified. </w:t>
      </w:r>
    </w:p>
    <w:p w14:paraId="215E0EF3" w14:textId="77777777" w:rsidR="003A2899" w:rsidRPr="0013426C" w:rsidRDefault="003A2899" w:rsidP="003A2899">
      <w:pPr>
        <w:suppressAutoHyphens/>
        <w:spacing w:after="0" w:line="240" w:lineRule="exact"/>
        <w:rPr>
          <w:sz w:val="20"/>
          <w:szCs w:val="20"/>
          <w:lang w:val="en-GB"/>
        </w:rPr>
      </w:pPr>
    </w:p>
    <w:p w14:paraId="198D4133" w14:textId="034C4E22" w:rsidR="003A2899" w:rsidRPr="0013426C" w:rsidRDefault="003A2899" w:rsidP="003A2899">
      <w:pPr>
        <w:suppressAutoHyphens/>
        <w:spacing w:after="0" w:line="240" w:lineRule="exact"/>
        <w:rPr>
          <w:b/>
          <w:bCs/>
          <w:i/>
          <w:iCs/>
          <w:sz w:val="20"/>
          <w:szCs w:val="20"/>
          <w:lang w:val="en-GB"/>
        </w:rPr>
      </w:pPr>
      <w:r w:rsidRPr="0013426C">
        <w:rPr>
          <w:b/>
          <w:bCs/>
          <w:sz w:val="20"/>
          <w:szCs w:val="20"/>
          <w:lang w:val="en-GB"/>
        </w:rPr>
        <w:t xml:space="preserve">Q: </w:t>
      </w:r>
      <w:r w:rsidRPr="0013426C">
        <w:rPr>
          <w:b/>
          <w:bCs/>
          <w:i/>
          <w:iCs/>
          <w:sz w:val="20"/>
          <w:szCs w:val="20"/>
          <w:lang w:val="en-GB"/>
        </w:rPr>
        <w:t xml:space="preserve">Do participants agree with including Section 12 of Annex X in a Regulation on Suspension and termination of rights under an Exploitation Contract?  </w:t>
      </w:r>
    </w:p>
    <w:p w14:paraId="6F007FA7" w14:textId="2D1271B3" w:rsidR="003A2899" w:rsidRPr="00A625E5" w:rsidRDefault="003A2899" w:rsidP="00A625E5">
      <w:pPr>
        <w:suppressAutoHyphens/>
        <w:spacing w:after="0" w:line="240" w:lineRule="exact"/>
        <w:rPr>
          <w:sz w:val="20"/>
          <w:szCs w:val="20"/>
          <w:lang w:val="en-GB"/>
        </w:rPr>
      </w:pPr>
      <w:r w:rsidRPr="00A625E5">
        <w:rPr>
          <w:sz w:val="20"/>
          <w:szCs w:val="20"/>
          <w:lang w:val="en-GB"/>
        </w:rPr>
        <w:t xml:space="preserve">There was some unclarity among the participants about </w:t>
      </w:r>
      <w:r w:rsidR="00A625E5">
        <w:rPr>
          <w:sz w:val="20"/>
          <w:szCs w:val="20"/>
          <w:lang w:val="en-GB"/>
        </w:rPr>
        <w:t>the organizers’ statement that</w:t>
      </w:r>
      <w:r w:rsidRPr="00A625E5">
        <w:rPr>
          <w:sz w:val="20"/>
          <w:szCs w:val="20"/>
          <w:lang w:val="en-GB"/>
        </w:rPr>
        <w:t xml:space="preserve"> Section 12 of Annex X </w:t>
      </w:r>
      <w:r w:rsidR="00A625E5">
        <w:rPr>
          <w:sz w:val="20"/>
          <w:szCs w:val="20"/>
          <w:lang w:val="en-GB"/>
        </w:rPr>
        <w:t xml:space="preserve">might need to be included in the Regulations, to avoid the content being </w:t>
      </w:r>
      <w:r w:rsidRPr="00A625E5">
        <w:rPr>
          <w:sz w:val="20"/>
          <w:szCs w:val="20"/>
          <w:lang w:val="en-GB"/>
        </w:rPr>
        <w:t xml:space="preserve">amended when the Authority and </w:t>
      </w:r>
      <w:r w:rsidR="00A625E5">
        <w:rPr>
          <w:sz w:val="20"/>
          <w:szCs w:val="20"/>
          <w:lang w:val="en-GB"/>
        </w:rPr>
        <w:t xml:space="preserve">an </w:t>
      </w:r>
      <w:r w:rsidRPr="00A625E5">
        <w:rPr>
          <w:sz w:val="20"/>
          <w:szCs w:val="20"/>
          <w:lang w:val="en-GB"/>
        </w:rPr>
        <w:t xml:space="preserve">applicant </w:t>
      </w:r>
      <w:r w:rsidR="00A625E5">
        <w:rPr>
          <w:sz w:val="20"/>
          <w:szCs w:val="20"/>
          <w:lang w:val="en-GB"/>
        </w:rPr>
        <w:t>negotiate</w:t>
      </w:r>
      <w:r w:rsidRPr="00A625E5">
        <w:rPr>
          <w:sz w:val="20"/>
          <w:szCs w:val="20"/>
          <w:lang w:val="en-GB"/>
        </w:rPr>
        <w:t xml:space="preserve"> an Exploitation Contract. The organizers explained that it was their understanding that </w:t>
      </w:r>
      <w:r w:rsidR="00A625E5">
        <w:rPr>
          <w:sz w:val="20"/>
          <w:szCs w:val="20"/>
          <w:lang w:val="en-GB"/>
        </w:rPr>
        <w:t xml:space="preserve">certain exploration contracts already deviate from the prescribed form. In practice, </w:t>
      </w:r>
      <w:r w:rsidRPr="00A625E5">
        <w:rPr>
          <w:sz w:val="20"/>
          <w:szCs w:val="20"/>
          <w:lang w:val="en-GB"/>
        </w:rPr>
        <w:t>contract</w:t>
      </w:r>
      <w:r w:rsidR="00A625E5">
        <w:rPr>
          <w:sz w:val="20"/>
          <w:szCs w:val="20"/>
          <w:lang w:val="en-GB"/>
        </w:rPr>
        <w:t>s thus might not be</w:t>
      </w:r>
      <w:r w:rsidRPr="00A625E5">
        <w:rPr>
          <w:sz w:val="20"/>
          <w:szCs w:val="20"/>
          <w:lang w:val="en-GB"/>
        </w:rPr>
        <w:t xml:space="preserve"> uniform. </w:t>
      </w:r>
    </w:p>
    <w:p w14:paraId="36C324D3" w14:textId="77777777" w:rsidR="00950FCB" w:rsidRDefault="00950FCB" w:rsidP="00A3448F">
      <w:pPr>
        <w:spacing w:line="276" w:lineRule="auto"/>
        <w:jc w:val="center"/>
        <w:rPr>
          <w:sz w:val="20"/>
          <w:szCs w:val="20"/>
          <w:lang w:val="en-US"/>
        </w:rPr>
      </w:pPr>
    </w:p>
    <w:p w14:paraId="0B152D3D" w14:textId="327B1436" w:rsidR="00A3448F" w:rsidRPr="0013426C" w:rsidRDefault="00A3448F" w:rsidP="00A3448F">
      <w:pPr>
        <w:spacing w:line="276" w:lineRule="auto"/>
        <w:jc w:val="center"/>
        <w:rPr>
          <w:sz w:val="20"/>
          <w:szCs w:val="20"/>
          <w:lang w:val="en-US"/>
        </w:rPr>
      </w:pPr>
      <w:r w:rsidRPr="0013426C">
        <w:rPr>
          <w:sz w:val="20"/>
          <w:szCs w:val="20"/>
          <w:lang w:val="en-US"/>
        </w:rPr>
        <w:t xml:space="preserve">* </w:t>
      </w:r>
      <w:r w:rsidRPr="0013426C">
        <w:rPr>
          <w:sz w:val="20"/>
          <w:szCs w:val="20"/>
          <w:lang w:val="en-US"/>
        </w:rPr>
        <w:tab/>
        <w:t xml:space="preserve">* </w:t>
      </w:r>
      <w:r w:rsidRPr="0013426C">
        <w:rPr>
          <w:sz w:val="20"/>
          <w:szCs w:val="20"/>
          <w:lang w:val="en-US"/>
        </w:rPr>
        <w:tab/>
        <w:t>*</w:t>
      </w:r>
    </w:p>
    <w:p w14:paraId="33DDB9E6" w14:textId="77777777" w:rsidR="00A3448F" w:rsidRPr="0013426C" w:rsidRDefault="00A3448F" w:rsidP="00A3448F">
      <w:pPr>
        <w:spacing w:line="276" w:lineRule="auto"/>
        <w:jc w:val="both"/>
        <w:rPr>
          <w:sz w:val="20"/>
          <w:szCs w:val="20"/>
          <w:lang w:val="en-US"/>
        </w:rPr>
      </w:pPr>
    </w:p>
    <w:p w14:paraId="73903BC4" w14:textId="77777777" w:rsidR="00A3448F" w:rsidRDefault="00A3448F" w:rsidP="00A3448F">
      <w:pPr>
        <w:spacing w:line="276" w:lineRule="auto"/>
        <w:jc w:val="both"/>
        <w:rPr>
          <w:lang w:val="en-US"/>
        </w:rPr>
      </w:pPr>
    </w:p>
    <w:p w14:paraId="027C11B5" w14:textId="7999B8E3" w:rsidR="00FB4442" w:rsidRPr="00FB4442" w:rsidRDefault="00FB4442" w:rsidP="00A3448F">
      <w:pPr>
        <w:spacing w:line="276" w:lineRule="auto"/>
        <w:jc w:val="both"/>
        <w:rPr>
          <w:lang w:val="en-US"/>
        </w:rPr>
      </w:pPr>
    </w:p>
    <w:sectPr w:rsidR="00FB4442" w:rsidRPr="00FB444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785F" w14:textId="77777777" w:rsidR="00932BA2" w:rsidRDefault="00932BA2" w:rsidP="0011559D">
      <w:pPr>
        <w:spacing w:after="0" w:line="240" w:lineRule="auto"/>
      </w:pPr>
      <w:r>
        <w:separator/>
      </w:r>
    </w:p>
  </w:endnote>
  <w:endnote w:type="continuationSeparator" w:id="0">
    <w:p w14:paraId="7F5A0E23" w14:textId="77777777" w:rsidR="00932BA2" w:rsidRDefault="00932BA2" w:rsidP="0011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021602"/>
      <w:docPartObj>
        <w:docPartGallery w:val="Page Numbers (Bottom of Page)"/>
        <w:docPartUnique/>
      </w:docPartObj>
    </w:sdtPr>
    <w:sdtContent>
      <w:p w14:paraId="35D2E017" w14:textId="3F82F48C" w:rsidR="009B4A4B" w:rsidRDefault="009B4A4B">
        <w:pPr>
          <w:pStyle w:val="Footer"/>
          <w:jc w:val="center"/>
        </w:pPr>
        <w:r>
          <w:fldChar w:fldCharType="begin"/>
        </w:r>
        <w:r>
          <w:instrText>PAGE   \* MERGEFORMAT</w:instrText>
        </w:r>
        <w:r>
          <w:fldChar w:fldCharType="separate"/>
        </w:r>
        <w:r>
          <w:t>2</w:t>
        </w:r>
        <w:r>
          <w:fldChar w:fldCharType="end"/>
        </w:r>
      </w:p>
    </w:sdtContent>
  </w:sdt>
  <w:p w14:paraId="43A066C6" w14:textId="77777777" w:rsidR="009B4A4B" w:rsidRDefault="009B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810A" w14:textId="77777777" w:rsidR="00932BA2" w:rsidRDefault="00932BA2" w:rsidP="0011559D">
      <w:pPr>
        <w:spacing w:after="0" w:line="240" w:lineRule="auto"/>
      </w:pPr>
      <w:r>
        <w:separator/>
      </w:r>
    </w:p>
  </w:footnote>
  <w:footnote w:type="continuationSeparator" w:id="0">
    <w:p w14:paraId="5D0B8D6F" w14:textId="77777777" w:rsidR="00932BA2" w:rsidRDefault="00932BA2" w:rsidP="00115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F265" w14:textId="03CDA9FD" w:rsidR="0011559D" w:rsidRPr="0011559D" w:rsidRDefault="0011559D">
    <w:pPr>
      <w:pStyle w:val="Header"/>
      <w:rPr>
        <w:b/>
        <w:bCs/>
        <w:lang w:val="en-US"/>
      </w:rPr>
    </w:pPr>
    <w:r w:rsidRPr="0011559D">
      <w:rPr>
        <w:b/>
        <w:bCs/>
        <w:lang w:val="en-US"/>
      </w:rPr>
      <w:t>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2F5"/>
    <w:multiLevelType w:val="hybridMultilevel"/>
    <w:tmpl w:val="C7940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A809C9"/>
    <w:multiLevelType w:val="hybridMultilevel"/>
    <w:tmpl w:val="52FAD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42A01"/>
    <w:multiLevelType w:val="hybridMultilevel"/>
    <w:tmpl w:val="FBE402CA"/>
    <w:lvl w:ilvl="0" w:tplc="433000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011F4D"/>
    <w:multiLevelType w:val="hybridMultilevel"/>
    <w:tmpl w:val="ED7C3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2C3161"/>
    <w:multiLevelType w:val="hybridMultilevel"/>
    <w:tmpl w:val="F6B89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1205C6"/>
    <w:multiLevelType w:val="hybridMultilevel"/>
    <w:tmpl w:val="6F00E524"/>
    <w:lvl w:ilvl="0" w:tplc="7B783EFA">
      <w:start w:val="4"/>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353865"/>
    <w:multiLevelType w:val="hybridMultilevel"/>
    <w:tmpl w:val="F95A7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B70E79"/>
    <w:multiLevelType w:val="hybridMultilevel"/>
    <w:tmpl w:val="CF987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1252A1"/>
    <w:multiLevelType w:val="hybridMultilevel"/>
    <w:tmpl w:val="FE862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FB5884"/>
    <w:multiLevelType w:val="hybridMultilevel"/>
    <w:tmpl w:val="01A222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E776A3"/>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30D3C88"/>
    <w:multiLevelType w:val="hybridMultilevel"/>
    <w:tmpl w:val="FB78C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0D3CBB"/>
    <w:multiLevelType w:val="hybridMultilevel"/>
    <w:tmpl w:val="70E20ED2"/>
    <w:lvl w:ilvl="0" w:tplc="7A824026">
      <w:start w:val="2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0B3F48"/>
    <w:multiLevelType w:val="hybridMultilevel"/>
    <w:tmpl w:val="B9905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097C49"/>
    <w:multiLevelType w:val="hybridMultilevel"/>
    <w:tmpl w:val="0FD23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286438"/>
    <w:multiLevelType w:val="hybridMultilevel"/>
    <w:tmpl w:val="07E41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535609"/>
    <w:multiLevelType w:val="hybridMultilevel"/>
    <w:tmpl w:val="A77A5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8946082">
    <w:abstractNumId w:val="10"/>
  </w:num>
  <w:num w:numId="2" w16cid:durableId="1489324932">
    <w:abstractNumId w:val="12"/>
  </w:num>
  <w:num w:numId="3" w16cid:durableId="1259673241">
    <w:abstractNumId w:val="2"/>
  </w:num>
  <w:num w:numId="4" w16cid:durableId="1822967209">
    <w:abstractNumId w:val="8"/>
  </w:num>
  <w:num w:numId="5" w16cid:durableId="12265487">
    <w:abstractNumId w:val="16"/>
  </w:num>
  <w:num w:numId="6" w16cid:durableId="665013577">
    <w:abstractNumId w:val="3"/>
  </w:num>
  <w:num w:numId="7" w16cid:durableId="2022705982">
    <w:abstractNumId w:val="10"/>
  </w:num>
  <w:num w:numId="8" w16cid:durableId="1047876718">
    <w:abstractNumId w:val="9"/>
  </w:num>
  <w:num w:numId="9" w16cid:durableId="594165873">
    <w:abstractNumId w:val="15"/>
  </w:num>
  <w:num w:numId="10" w16cid:durableId="1410270264">
    <w:abstractNumId w:val="14"/>
  </w:num>
  <w:num w:numId="11" w16cid:durableId="1314525254">
    <w:abstractNumId w:val="13"/>
  </w:num>
  <w:num w:numId="12" w16cid:durableId="1296913578">
    <w:abstractNumId w:val="5"/>
  </w:num>
  <w:num w:numId="13" w16cid:durableId="1361468202">
    <w:abstractNumId w:val="1"/>
  </w:num>
  <w:num w:numId="14" w16cid:durableId="1889562452">
    <w:abstractNumId w:val="4"/>
  </w:num>
  <w:num w:numId="15" w16cid:durableId="1502815097">
    <w:abstractNumId w:val="0"/>
  </w:num>
  <w:num w:numId="16" w16cid:durableId="1532105126">
    <w:abstractNumId w:val="6"/>
  </w:num>
  <w:num w:numId="17" w16cid:durableId="2085374815">
    <w:abstractNumId w:val="7"/>
  </w:num>
  <w:num w:numId="18" w16cid:durableId="1621914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B2"/>
    <w:rsid w:val="00004073"/>
    <w:rsid w:val="0002235A"/>
    <w:rsid w:val="00040BA8"/>
    <w:rsid w:val="00041DC4"/>
    <w:rsid w:val="00054214"/>
    <w:rsid w:val="00063279"/>
    <w:rsid w:val="00063D09"/>
    <w:rsid w:val="000A202C"/>
    <w:rsid w:val="000B7C75"/>
    <w:rsid w:val="00110BF6"/>
    <w:rsid w:val="0011559D"/>
    <w:rsid w:val="0013426C"/>
    <w:rsid w:val="001439D9"/>
    <w:rsid w:val="0015490A"/>
    <w:rsid w:val="001602AD"/>
    <w:rsid w:val="00184BA0"/>
    <w:rsid w:val="001866D8"/>
    <w:rsid w:val="001B000C"/>
    <w:rsid w:val="001B3E70"/>
    <w:rsid w:val="001E4724"/>
    <w:rsid w:val="00202DD3"/>
    <w:rsid w:val="00232684"/>
    <w:rsid w:val="00237E04"/>
    <w:rsid w:val="00242134"/>
    <w:rsid w:val="002467DD"/>
    <w:rsid w:val="002472CF"/>
    <w:rsid w:val="00256407"/>
    <w:rsid w:val="00283128"/>
    <w:rsid w:val="002901CE"/>
    <w:rsid w:val="002A4B3E"/>
    <w:rsid w:val="002A57EC"/>
    <w:rsid w:val="002C4439"/>
    <w:rsid w:val="002D3174"/>
    <w:rsid w:val="002D75FE"/>
    <w:rsid w:val="002E3239"/>
    <w:rsid w:val="0033740D"/>
    <w:rsid w:val="00345B48"/>
    <w:rsid w:val="00346C73"/>
    <w:rsid w:val="00383C16"/>
    <w:rsid w:val="003861E2"/>
    <w:rsid w:val="003A2899"/>
    <w:rsid w:val="003A7AC1"/>
    <w:rsid w:val="003E4808"/>
    <w:rsid w:val="004073DF"/>
    <w:rsid w:val="00412362"/>
    <w:rsid w:val="00426F30"/>
    <w:rsid w:val="00495BE2"/>
    <w:rsid w:val="004B6BC9"/>
    <w:rsid w:val="00500EFF"/>
    <w:rsid w:val="00502EE9"/>
    <w:rsid w:val="0050390D"/>
    <w:rsid w:val="005039D0"/>
    <w:rsid w:val="00514A8C"/>
    <w:rsid w:val="00546BEB"/>
    <w:rsid w:val="005704D0"/>
    <w:rsid w:val="005725D2"/>
    <w:rsid w:val="005A70DF"/>
    <w:rsid w:val="005A7242"/>
    <w:rsid w:val="005C7CF4"/>
    <w:rsid w:val="005D3305"/>
    <w:rsid w:val="006525F5"/>
    <w:rsid w:val="0069751B"/>
    <w:rsid w:val="006B1B86"/>
    <w:rsid w:val="006F560A"/>
    <w:rsid w:val="00716802"/>
    <w:rsid w:val="00727865"/>
    <w:rsid w:val="007335F1"/>
    <w:rsid w:val="0075008C"/>
    <w:rsid w:val="00770CE7"/>
    <w:rsid w:val="00790999"/>
    <w:rsid w:val="00795F7F"/>
    <w:rsid w:val="0081401F"/>
    <w:rsid w:val="008208D2"/>
    <w:rsid w:val="00844E20"/>
    <w:rsid w:val="008545A7"/>
    <w:rsid w:val="00875BBC"/>
    <w:rsid w:val="0087618F"/>
    <w:rsid w:val="008B4575"/>
    <w:rsid w:val="008B648F"/>
    <w:rsid w:val="008D1054"/>
    <w:rsid w:val="008D75F8"/>
    <w:rsid w:val="008E13B2"/>
    <w:rsid w:val="008E5502"/>
    <w:rsid w:val="008F749B"/>
    <w:rsid w:val="00925B5E"/>
    <w:rsid w:val="00932BA2"/>
    <w:rsid w:val="00934164"/>
    <w:rsid w:val="009441C2"/>
    <w:rsid w:val="00950FCB"/>
    <w:rsid w:val="0099748B"/>
    <w:rsid w:val="009B4A4B"/>
    <w:rsid w:val="009E328C"/>
    <w:rsid w:val="009F3E6A"/>
    <w:rsid w:val="00A3448F"/>
    <w:rsid w:val="00A4288F"/>
    <w:rsid w:val="00A625E5"/>
    <w:rsid w:val="00A70035"/>
    <w:rsid w:val="00A746A5"/>
    <w:rsid w:val="00A85958"/>
    <w:rsid w:val="00AA7110"/>
    <w:rsid w:val="00AE5764"/>
    <w:rsid w:val="00B24BC0"/>
    <w:rsid w:val="00B87F5B"/>
    <w:rsid w:val="00B977B0"/>
    <w:rsid w:val="00BA2A55"/>
    <w:rsid w:val="00BD4631"/>
    <w:rsid w:val="00C470F7"/>
    <w:rsid w:val="00C55B90"/>
    <w:rsid w:val="00CF1B8D"/>
    <w:rsid w:val="00D052CC"/>
    <w:rsid w:val="00D427CA"/>
    <w:rsid w:val="00D60171"/>
    <w:rsid w:val="00DD3888"/>
    <w:rsid w:val="00DF7118"/>
    <w:rsid w:val="00E449B2"/>
    <w:rsid w:val="00E55E92"/>
    <w:rsid w:val="00E859A7"/>
    <w:rsid w:val="00E90287"/>
    <w:rsid w:val="00ED031E"/>
    <w:rsid w:val="00ED5714"/>
    <w:rsid w:val="00ED7CEE"/>
    <w:rsid w:val="00EE1554"/>
    <w:rsid w:val="00EE46E1"/>
    <w:rsid w:val="00EF3BAF"/>
    <w:rsid w:val="00EF6C14"/>
    <w:rsid w:val="00F0510E"/>
    <w:rsid w:val="00F20203"/>
    <w:rsid w:val="00F56839"/>
    <w:rsid w:val="00FB4442"/>
    <w:rsid w:val="00FE1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5CEC"/>
  <w15:chartTrackingRefBased/>
  <w15:docId w15:val="{670856D8-F4FD-4C3D-BED2-86D02ED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F6"/>
    <w:pPr>
      <w:spacing w:line="259" w:lineRule="auto"/>
    </w:pPr>
    <w:rPr>
      <w:rFonts w:ascii="Verdana" w:hAnsi="Verdana"/>
      <w:kern w:val="0"/>
      <w:sz w:val="18"/>
      <w:szCs w:val="22"/>
      <w14:ligatures w14:val="none"/>
    </w:rPr>
  </w:style>
  <w:style w:type="paragraph" w:styleId="Heading1">
    <w:name w:val="heading 1"/>
    <w:basedOn w:val="Normal"/>
    <w:next w:val="Normal"/>
    <w:link w:val="Heading1Char"/>
    <w:uiPriority w:val="9"/>
    <w:qFormat/>
    <w:rsid w:val="00E449B2"/>
    <w:pPr>
      <w:keepNext/>
      <w:keepLines/>
      <w:numPr>
        <w:numId w:val="1"/>
      </w:numPr>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5D3305"/>
    <w:pPr>
      <w:keepNext/>
      <w:keepLines/>
      <w:numPr>
        <w:ilvl w:val="1"/>
        <w:numId w:val="1"/>
      </w:numPr>
      <w:spacing w:before="160" w:after="80"/>
      <w:outlineLvl w:val="1"/>
    </w:pPr>
    <w:rPr>
      <w:rFonts w:eastAsiaTheme="majorEastAsia" w:cstheme="majorBidi"/>
      <w:i/>
      <w:color w:val="000000" w:themeColor="text1"/>
      <w:szCs w:val="32"/>
    </w:rPr>
  </w:style>
  <w:style w:type="paragraph" w:styleId="Heading3">
    <w:name w:val="heading 3"/>
    <w:basedOn w:val="Normal"/>
    <w:next w:val="Normal"/>
    <w:link w:val="Heading3Char"/>
    <w:uiPriority w:val="9"/>
    <w:semiHidden/>
    <w:unhideWhenUsed/>
    <w:qFormat/>
    <w:rsid w:val="00E449B2"/>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9B2"/>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9B2"/>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9B2"/>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9B2"/>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9B2"/>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9B2"/>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B2"/>
    <w:rPr>
      <w:rFonts w:ascii="Verdana" w:eastAsiaTheme="majorEastAsia" w:hAnsi="Verdana" w:cstheme="majorBidi"/>
      <w:b/>
      <w:color w:val="000000" w:themeColor="text1"/>
      <w:kern w:val="0"/>
      <w:sz w:val="20"/>
      <w:szCs w:val="40"/>
      <w14:ligatures w14:val="none"/>
    </w:rPr>
  </w:style>
  <w:style w:type="character" w:customStyle="1" w:styleId="Heading2Char">
    <w:name w:val="Heading 2 Char"/>
    <w:basedOn w:val="DefaultParagraphFont"/>
    <w:link w:val="Heading2"/>
    <w:uiPriority w:val="9"/>
    <w:rsid w:val="005D3305"/>
    <w:rPr>
      <w:rFonts w:ascii="Verdana" w:eastAsiaTheme="majorEastAsia" w:hAnsi="Verdana" w:cstheme="majorBidi"/>
      <w:i/>
      <w:color w:val="000000" w:themeColor="text1"/>
      <w:kern w:val="0"/>
      <w:sz w:val="20"/>
      <w:szCs w:val="32"/>
      <w14:ligatures w14:val="none"/>
    </w:rPr>
  </w:style>
  <w:style w:type="character" w:customStyle="1" w:styleId="Heading3Char">
    <w:name w:val="Heading 3 Char"/>
    <w:basedOn w:val="DefaultParagraphFont"/>
    <w:link w:val="Heading3"/>
    <w:uiPriority w:val="9"/>
    <w:semiHidden/>
    <w:rsid w:val="00E44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9B2"/>
    <w:rPr>
      <w:rFonts w:eastAsiaTheme="majorEastAsia" w:cstheme="majorBidi"/>
      <w:color w:val="272727" w:themeColor="text1" w:themeTint="D8"/>
    </w:rPr>
  </w:style>
  <w:style w:type="paragraph" w:styleId="Title">
    <w:name w:val="Title"/>
    <w:basedOn w:val="Normal"/>
    <w:next w:val="Normal"/>
    <w:link w:val="TitleChar"/>
    <w:uiPriority w:val="10"/>
    <w:qFormat/>
    <w:rsid w:val="00E44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9B2"/>
    <w:pPr>
      <w:spacing w:before="160"/>
      <w:jc w:val="center"/>
    </w:pPr>
    <w:rPr>
      <w:i/>
      <w:iCs/>
      <w:color w:val="404040" w:themeColor="text1" w:themeTint="BF"/>
    </w:rPr>
  </w:style>
  <w:style w:type="character" w:customStyle="1" w:styleId="QuoteChar">
    <w:name w:val="Quote Char"/>
    <w:basedOn w:val="DefaultParagraphFont"/>
    <w:link w:val="Quote"/>
    <w:uiPriority w:val="29"/>
    <w:rsid w:val="00E449B2"/>
    <w:rPr>
      <w:i/>
      <w:iCs/>
      <w:color w:val="404040" w:themeColor="text1" w:themeTint="BF"/>
    </w:rPr>
  </w:style>
  <w:style w:type="paragraph" w:styleId="ListParagraph">
    <w:name w:val="List Paragraph"/>
    <w:basedOn w:val="Normal"/>
    <w:uiPriority w:val="34"/>
    <w:qFormat/>
    <w:rsid w:val="00E449B2"/>
    <w:pPr>
      <w:ind w:left="720"/>
      <w:contextualSpacing/>
    </w:pPr>
  </w:style>
  <w:style w:type="character" w:styleId="IntenseEmphasis">
    <w:name w:val="Intense Emphasis"/>
    <w:basedOn w:val="DefaultParagraphFont"/>
    <w:uiPriority w:val="21"/>
    <w:qFormat/>
    <w:rsid w:val="00E449B2"/>
    <w:rPr>
      <w:i/>
      <w:iCs/>
      <w:color w:val="0F4761" w:themeColor="accent1" w:themeShade="BF"/>
    </w:rPr>
  </w:style>
  <w:style w:type="paragraph" w:styleId="IntenseQuote">
    <w:name w:val="Intense Quote"/>
    <w:basedOn w:val="Normal"/>
    <w:next w:val="Normal"/>
    <w:link w:val="IntenseQuoteChar"/>
    <w:uiPriority w:val="30"/>
    <w:qFormat/>
    <w:rsid w:val="00E44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9B2"/>
    <w:rPr>
      <w:i/>
      <w:iCs/>
      <w:color w:val="0F4761" w:themeColor="accent1" w:themeShade="BF"/>
    </w:rPr>
  </w:style>
  <w:style w:type="character" w:styleId="IntenseReference">
    <w:name w:val="Intense Reference"/>
    <w:basedOn w:val="DefaultParagraphFont"/>
    <w:uiPriority w:val="32"/>
    <w:qFormat/>
    <w:rsid w:val="00E449B2"/>
    <w:rPr>
      <w:b/>
      <w:bCs/>
      <w:smallCaps/>
      <w:color w:val="0F4761" w:themeColor="accent1" w:themeShade="BF"/>
      <w:spacing w:val="5"/>
    </w:rPr>
  </w:style>
  <w:style w:type="paragraph" w:styleId="Header">
    <w:name w:val="header"/>
    <w:basedOn w:val="Normal"/>
    <w:link w:val="HeaderChar"/>
    <w:uiPriority w:val="99"/>
    <w:unhideWhenUsed/>
    <w:rsid w:val="0011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59D"/>
    <w:rPr>
      <w:rFonts w:ascii="Verdana" w:hAnsi="Verdana"/>
      <w:kern w:val="0"/>
      <w:sz w:val="18"/>
      <w:szCs w:val="22"/>
      <w14:ligatures w14:val="none"/>
    </w:rPr>
  </w:style>
  <w:style w:type="paragraph" w:styleId="Footer">
    <w:name w:val="footer"/>
    <w:basedOn w:val="Normal"/>
    <w:link w:val="FooterChar"/>
    <w:uiPriority w:val="99"/>
    <w:unhideWhenUsed/>
    <w:rsid w:val="0011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59D"/>
    <w:rPr>
      <w:rFonts w:ascii="Verdana" w:hAnsi="Verdana"/>
      <w:kern w:val="0"/>
      <w:sz w:val="18"/>
      <w:szCs w:val="22"/>
      <w14:ligatures w14:val="none"/>
    </w:rPr>
  </w:style>
  <w:style w:type="character" w:styleId="CommentReference">
    <w:name w:val="annotation reference"/>
    <w:basedOn w:val="DefaultParagraphFont"/>
    <w:uiPriority w:val="99"/>
    <w:semiHidden/>
    <w:unhideWhenUsed/>
    <w:rsid w:val="00E55E92"/>
    <w:rPr>
      <w:sz w:val="16"/>
      <w:szCs w:val="16"/>
    </w:rPr>
  </w:style>
  <w:style w:type="paragraph" w:styleId="CommentText">
    <w:name w:val="annotation text"/>
    <w:basedOn w:val="Normal"/>
    <w:link w:val="CommentTextChar"/>
    <w:uiPriority w:val="99"/>
    <w:unhideWhenUsed/>
    <w:rsid w:val="00E55E92"/>
    <w:pPr>
      <w:spacing w:line="240" w:lineRule="auto"/>
    </w:pPr>
    <w:rPr>
      <w:sz w:val="20"/>
      <w:szCs w:val="20"/>
    </w:rPr>
  </w:style>
  <w:style w:type="character" w:customStyle="1" w:styleId="CommentTextChar">
    <w:name w:val="Comment Text Char"/>
    <w:basedOn w:val="DefaultParagraphFont"/>
    <w:link w:val="CommentText"/>
    <w:uiPriority w:val="99"/>
    <w:rsid w:val="00E55E92"/>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E92"/>
    <w:rPr>
      <w:b/>
      <w:bCs/>
    </w:rPr>
  </w:style>
  <w:style w:type="character" w:customStyle="1" w:styleId="CommentSubjectChar">
    <w:name w:val="Comment Subject Char"/>
    <w:basedOn w:val="CommentTextChar"/>
    <w:link w:val="CommentSubject"/>
    <w:uiPriority w:val="99"/>
    <w:semiHidden/>
    <w:rsid w:val="00E55E92"/>
    <w:rPr>
      <w:rFonts w:ascii="Verdana" w:hAnsi="Verdana"/>
      <w:b/>
      <w:bCs/>
      <w:kern w:val="0"/>
      <w:sz w:val="20"/>
      <w:szCs w:val="20"/>
      <w14:ligatures w14:val="none"/>
    </w:rPr>
  </w:style>
  <w:style w:type="paragraph" w:styleId="NoSpacing">
    <w:name w:val="No Spacing"/>
    <w:uiPriority w:val="1"/>
    <w:qFormat/>
    <w:rsid w:val="0002235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6394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Esper van</dc:creator>
  <cp:keywords/>
  <dc:description/>
  <cp:lastModifiedBy>Whitehead, Oliver</cp:lastModifiedBy>
  <cp:revision>6</cp:revision>
  <dcterms:created xsi:type="dcterms:W3CDTF">2025-11-24T14:36:00Z</dcterms:created>
  <dcterms:modified xsi:type="dcterms:W3CDTF">2025-11-26T14:16:00Z</dcterms:modified>
</cp:coreProperties>
</file>