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90F4" w14:textId="2BE2E0D8" w:rsidR="008914B8" w:rsidRPr="005B7F04" w:rsidRDefault="008914B8" w:rsidP="008914B8">
      <w:pPr>
        <w:spacing w:after="120"/>
        <w:ind w:left="1083" w:right="1270"/>
        <w:jc w:val="center"/>
        <w:rPr>
          <w:b/>
          <w:bCs/>
          <w:highlight w:val="cyan"/>
        </w:rPr>
      </w:pPr>
      <w:r w:rsidRPr="005B7F04">
        <w:rPr>
          <w:b/>
          <w:bCs/>
          <w:highlight w:val="cyan"/>
        </w:rPr>
        <w:t>Spain Proposal June 2025 DR35 –</w:t>
      </w:r>
      <w:commentRangeStart w:id="0"/>
      <w:commentRangeEnd w:id="0"/>
      <w:r>
        <w:rPr>
          <w:rStyle w:val="Marquedecommentaire"/>
          <w:lang w:val="en-GB"/>
        </w:rPr>
        <w:commentReference w:id="0"/>
      </w:r>
    </w:p>
    <w:p w14:paraId="0528B2B1" w14:textId="77777777" w:rsidR="008914B8" w:rsidRPr="005B7F04" w:rsidRDefault="008914B8" w:rsidP="008914B8">
      <w:pPr>
        <w:spacing w:after="120"/>
        <w:ind w:left="1083" w:right="1270"/>
        <w:jc w:val="center"/>
        <w:rPr>
          <w:highlight w:val="cyan"/>
        </w:rPr>
      </w:pPr>
      <w:r w:rsidRPr="005B7F04">
        <w:rPr>
          <w:highlight w:val="cyan"/>
        </w:rPr>
        <w:t>Human remains and underwater cultural heritage</w:t>
      </w:r>
    </w:p>
    <w:p w14:paraId="055BDFCF" w14:textId="1229D227" w:rsidR="008914B8" w:rsidRPr="005378EE" w:rsidRDefault="008914B8" w:rsidP="008914B8">
      <w:pPr>
        <w:pStyle w:val="Paragraphedeliste"/>
        <w:numPr>
          <w:ilvl w:val="0"/>
          <w:numId w:val="2"/>
        </w:numPr>
        <w:suppressAutoHyphens w:val="0"/>
        <w:spacing w:after="120" w:line="240" w:lineRule="auto"/>
        <w:ind w:right="1270"/>
        <w:jc w:val="both"/>
        <w:rPr>
          <w:highlight w:val="cyan"/>
        </w:rPr>
      </w:pPr>
      <w:r w:rsidRPr="005378EE">
        <w:rPr>
          <w:highlight w:val="cyan"/>
        </w:rPr>
        <w:t>Exploitation activities in the Area shall be conducted in a way affect human remains and/or underwater cultural heritage</w:t>
      </w:r>
      <w:r w:rsidR="00717135" w:rsidRPr="00717135">
        <w:rPr>
          <w:highlight w:val="cyan"/>
        </w:rPr>
        <w:t xml:space="preserve"> </w:t>
      </w:r>
      <w:r w:rsidR="00717135" w:rsidRPr="005378EE">
        <w:rPr>
          <w:highlight w:val="cyan"/>
        </w:rPr>
        <w:t>that does not negatively</w:t>
      </w:r>
      <w:r w:rsidRPr="005378EE">
        <w:rPr>
          <w:highlight w:val="cyan"/>
        </w:rPr>
        <w:t xml:space="preserve">. </w:t>
      </w:r>
    </w:p>
    <w:p w14:paraId="30A5C1D2" w14:textId="77777777" w:rsidR="008914B8" w:rsidRPr="005378EE" w:rsidRDefault="008914B8" w:rsidP="008914B8">
      <w:pPr>
        <w:pStyle w:val="Paragraphedeliste"/>
        <w:numPr>
          <w:ilvl w:val="0"/>
          <w:numId w:val="3"/>
        </w:numPr>
        <w:suppressAutoHyphens w:val="0"/>
        <w:spacing w:line="240" w:lineRule="auto"/>
        <w:jc w:val="both"/>
        <w:rPr>
          <w:highlight w:val="yellow"/>
        </w:rPr>
      </w:pPr>
      <w:r>
        <w:rPr>
          <w:color w:val="000000"/>
          <w:highlight w:val="yellow"/>
          <w:shd w:val="clear" w:color="auto" w:fill="FFFFFF"/>
        </w:rPr>
        <w:t xml:space="preserve">Bis </w:t>
      </w:r>
      <w:commentRangeStart w:id="1"/>
      <w:commentRangeStart w:id="2"/>
      <w:r w:rsidRPr="005378EE">
        <w:rPr>
          <w:rFonts w:eastAsia="Times New Roman"/>
          <w:color w:val="000000"/>
          <w:highlight w:val="yellow"/>
          <w:shd w:val="clear" w:color="auto" w:fill="FFFFFF"/>
          <w:lang w:eastAsia="fr-FR"/>
        </w:rPr>
        <w:t xml:space="preserve">Consistent with State practice and international law, including the United Nations Convention on the Law of the Sea, nothing in these regulations shall be interpreted as modifying the rules of international law and State practice pertaining to sovereign immunities, nor any State’s rights with respect to its State vessels and aircraft. </w:t>
      </w:r>
      <w:commentRangeEnd w:id="1"/>
      <w:r>
        <w:rPr>
          <w:rStyle w:val="Marquedecommentaire"/>
          <w:rFonts w:eastAsia="Calibri"/>
        </w:rPr>
        <w:commentReference w:id="1"/>
      </w:r>
      <w:commentRangeStart w:id="3"/>
      <w:r w:rsidRPr="005378EE">
        <w:rPr>
          <w:rFonts w:eastAsia="Times New Roman"/>
          <w:color w:val="000000"/>
          <w:highlight w:val="yellow"/>
          <w:shd w:val="clear" w:color="auto" w:fill="FFFFFF"/>
          <w:lang w:eastAsia="fr-FR"/>
        </w:rPr>
        <w:t>No decision shall therefore be taken by the Council about the disposal, protection or preservation of a wreck entitled to sovereign immunity and associated human remains without the consent of the flag State.</w:t>
      </w:r>
      <w:commentRangeEnd w:id="2"/>
      <w:r>
        <w:rPr>
          <w:rStyle w:val="Marquedecommentaire"/>
          <w:rFonts w:eastAsia="Calibri"/>
        </w:rPr>
        <w:commentReference w:id="2"/>
      </w:r>
      <w:commentRangeEnd w:id="3"/>
      <w:r>
        <w:rPr>
          <w:rStyle w:val="Marquedecommentaire"/>
          <w:rFonts w:eastAsia="Calibri"/>
        </w:rPr>
        <w:commentReference w:id="3"/>
      </w:r>
    </w:p>
    <w:p w14:paraId="620962EA" w14:textId="77777777" w:rsidR="008914B8" w:rsidRPr="005378EE" w:rsidRDefault="008914B8" w:rsidP="008914B8">
      <w:pPr>
        <w:pStyle w:val="Paragraphedeliste"/>
        <w:ind w:left="1443"/>
        <w:jc w:val="both"/>
      </w:pPr>
      <w:r w:rsidRPr="005378EE">
        <w:rPr>
          <w:rFonts w:eastAsia="Times New Roman"/>
          <w:color w:val="000000"/>
          <w:shd w:val="clear" w:color="auto" w:fill="FFFF00"/>
          <w:lang w:eastAsia="fr-FR"/>
        </w:rPr>
        <w:t> </w:t>
      </w:r>
    </w:p>
    <w:p w14:paraId="1D248BBE" w14:textId="77777777" w:rsidR="008914B8" w:rsidRPr="008B4C48" w:rsidRDefault="008914B8" w:rsidP="008914B8">
      <w:pPr>
        <w:pStyle w:val="Paragraphedeliste"/>
        <w:numPr>
          <w:ilvl w:val="0"/>
          <w:numId w:val="4"/>
        </w:numPr>
        <w:suppressAutoHyphens w:val="0"/>
        <w:spacing w:line="240" w:lineRule="auto"/>
        <w:rPr>
          <w:rFonts w:eastAsia="Times New Roman"/>
          <w:sz w:val="24"/>
          <w:szCs w:val="24"/>
          <w:lang w:eastAsia="fr-FR"/>
        </w:rPr>
      </w:pPr>
      <w:r w:rsidRPr="00C835A4">
        <w:rPr>
          <w:highlight w:val="yellow"/>
        </w:rPr>
        <w:t xml:space="preserve">Ter. </w:t>
      </w:r>
      <w:commentRangeStart w:id="4"/>
      <w:r w:rsidRPr="00C835A4">
        <w:rPr>
          <w:highlight w:val="cyan"/>
        </w:rPr>
        <w:t>Any measure decided under this regulation shall be adopted or suggested in accordance with applicable standards and taking into consideration adopted guidelines</w:t>
      </w:r>
      <w:r>
        <w:t>.</w:t>
      </w:r>
      <w:commentRangeEnd w:id="4"/>
      <w:r>
        <w:rPr>
          <w:rStyle w:val="Marquedecommentaire"/>
          <w:rFonts w:eastAsia="Calibri"/>
        </w:rPr>
        <w:commentReference w:id="4"/>
      </w:r>
      <w:commentRangeStart w:id="5"/>
      <w:r w:rsidRPr="005378EE">
        <w:rPr>
          <w:rFonts w:eastAsia="Times New Roman"/>
          <w:color w:val="000000"/>
          <w:lang w:eastAsia="fr-FR"/>
        </w:rPr>
        <w:t>“ T</w:t>
      </w:r>
      <w:r w:rsidRPr="005378EE">
        <w:rPr>
          <w:rFonts w:eastAsia="Times New Roman"/>
          <w:color w:val="000000"/>
          <w:shd w:val="clear" w:color="auto" w:fill="FFFF00"/>
          <w:lang w:eastAsia="fr-FR"/>
        </w:rPr>
        <w:t xml:space="preserve">he recognized </w:t>
      </w:r>
      <w:proofErr w:type="spellStart"/>
      <w:r w:rsidRPr="005378EE">
        <w:rPr>
          <w:rFonts w:eastAsia="Times New Roman"/>
          <w:color w:val="000000"/>
          <w:shd w:val="clear" w:color="auto" w:fill="FFFF00"/>
          <w:lang w:eastAsia="fr-FR"/>
        </w:rPr>
        <w:t>professionnal</w:t>
      </w:r>
      <w:proofErr w:type="spellEnd"/>
      <w:r w:rsidRPr="005378EE">
        <w:rPr>
          <w:rFonts w:eastAsia="Times New Roman"/>
          <w:color w:val="000000"/>
          <w:shd w:val="clear" w:color="auto" w:fill="FFFF00"/>
          <w:lang w:eastAsia="fr-FR"/>
        </w:rPr>
        <w:t xml:space="preserve"> norms applicable to UCH and HR include the Rules of the Convention on UCH (2001)</w:t>
      </w:r>
      <w:r w:rsidRPr="005378EE">
        <w:rPr>
          <w:rFonts w:eastAsia="Times New Roman"/>
          <w:color w:val="000000"/>
          <w:lang w:eastAsia="fr-FR"/>
        </w:rPr>
        <w:t xml:space="preserve">; </w:t>
      </w:r>
      <w:commentRangeEnd w:id="5"/>
      <w:r>
        <w:rPr>
          <w:rStyle w:val="Marquedecommentaire"/>
          <w:rFonts w:eastAsia="Calibri"/>
        </w:rPr>
        <w:commentReference w:id="5"/>
      </w:r>
    </w:p>
    <w:p w14:paraId="3E40E2BB" w14:textId="4CFA6AF1" w:rsidR="007C3D0C" w:rsidRPr="00BA7BCA" w:rsidRDefault="008914B8" w:rsidP="007C3D0C">
      <w:pPr>
        <w:pStyle w:val="Paragraphedeliste"/>
        <w:suppressAutoHyphens w:val="0"/>
        <w:spacing w:line="240" w:lineRule="auto"/>
        <w:ind w:left="2163"/>
        <w:jc w:val="both"/>
        <w:rPr>
          <w:rFonts w:eastAsia="Times New Roman"/>
          <w:sz w:val="24"/>
          <w:szCs w:val="24"/>
          <w:lang w:eastAsia="fr-FR"/>
        </w:rPr>
      </w:pPr>
      <w:commentRangeStart w:id="6"/>
      <w:r w:rsidRPr="00333CF5">
        <w:rPr>
          <w:rFonts w:eastAsia="Times New Roman"/>
          <w:color w:val="000000"/>
          <w:highlight w:val="yellow"/>
          <w:lang w:eastAsia="fr-FR"/>
        </w:rPr>
        <w:t>For the purpose of this regulation,</w:t>
      </w:r>
      <w:r>
        <w:rPr>
          <w:rFonts w:eastAsia="Times New Roman"/>
          <w:color w:val="000000"/>
          <w:highlight w:val="yellow"/>
          <w:lang w:eastAsia="fr-FR"/>
        </w:rPr>
        <w:t xml:space="preserve"> by virtue of article 165 §2 lit. (e),</w:t>
      </w:r>
      <w:r w:rsidRPr="00333CF5">
        <w:rPr>
          <w:rFonts w:eastAsia="Times New Roman"/>
          <w:color w:val="000000"/>
          <w:highlight w:val="yellow"/>
          <w:lang w:eastAsia="fr-FR"/>
        </w:rPr>
        <w:t xml:space="preserve"> </w:t>
      </w:r>
      <w:commentRangeStart w:id="7"/>
      <w:r w:rsidRPr="00333CF5">
        <w:rPr>
          <w:rFonts w:eastAsia="Times New Roman"/>
          <w:color w:val="000000"/>
          <w:highlight w:val="yellow"/>
          <w:lang w:eastAsia="fr-FR"/>
        </w:rPr>
        <w:t>the</w:t>
      </w:r>
      <w:commentRangeEnd w:id="7"/>
      <w:r w:rsidR="007C3D0C">
        <w:rPr>
          <w:rStyle w:val="Marquedecommentaire"/>
          <w:rFonts w:eastAsia="Calibri"/>
          <w:spacing w:val="4"/>
          <w:w w:val="103"/>
          <w:kern w:val="14"/>
        </w:rPr>
        <w:commentReference w:id="7"/>
      </w:r>
      <w:r w:rsidRPr="00333CF5">
        <w:rPr>
          <w:rFonts w:eastAsia="Times New Roman"/>
          <w:color w:val="000000"/>
          <w:highlight w:val="yellow"/>
          <w:lang w:eastAsia="fr-FR"/>
        </w:rPr>
        <w:t xml:space="preserve"> Commission </w:t>
      </w:r>
      <w:r>
        <w:rPr>
          <w:rFonts w:eastAsia="Times New Roman"/>
          <w:color w:val="000000"/>
          <w:highlight w:val="yellow"/>
          <w:lang w:eastAsia="fr-FR"/>
        </w:rPr>
        <w:t xml:space="preserve">shall </w:t>
      </w:r>
      <w:r w:rsidRPr="00333CF5">
        <w:rPr>
          <w:rFonts w:eastAsia="Times New Roman"/>
          <w:color w:val="000000"/>
          <w:highlight w:val="yellow"/>
          <w:lang w:eastAsia="fr-FR"/>
        </w:rPr>
        <w:t xml:space="preserve">appoint and consult experts in underwater </w:t>
      </w:r>
      <w:proofErr w:type="spellStart"/>
      <w:r w:rsidRPr="00333CF5">
        <w:rPr>
          <w:rFonts w:eastAsia="Times New Roman"/>
          <w:color w:val="000000"/>
          <w:highlight w:val="yellow"/>
          <w:lang w:eastAsia="fr-FR"/>
        </w:rPr>
        <w:t>archeology</w:t>
      </w:r>
      <w:proofErr w:type="spellEnd"/>
      <w:r w:rsidRPr="00333CF5">
        <w:rPr>
          <w:rFonts w:eastAsia="Times New Roman"/>
          <w:color w:val="000000"/>
          <w:highlight w:val="yellow"/>
          <w:lang w:eastAsia="fr-FR"/>
        </w:rPr>
        <w:t xml:space="preserve">, </w:t>
      </w:r>
      <w:proofErr w:type="spellStart"/>
      <w:r w:rsidRPr="00333CF5">
        <w:rPr>
          <w:rFonts w:eastAsia="Times New Roman"/>
          <w:color w:val="000000"/>
          <w:highlight w:val="yellow"/>
          <w:lang w:eastAsia="fr-FR"/>
        </w:rPr>
        <w:t>archeological</w:t>
      </w:r>
      <w:proofErr w:type="spellEnd"/>
      <w:r w:rsidRPr="00333CF5">
        <w:rPr>
          <w:rFonts w:eastAsia="Times New Roman"/>
          <w:color w:val="000000"/>
          <w:highlight w:val="yellow"/>
          <w:lang w:eastAsia="fr-FR"/>
        </w:rPr>
        <w:t xml:space="preserve"> survey, international law experts on UCH, history and, when applicable,</w:t>
      </w:r>
      <w:r>
        <w:rPr>
          <w:rFonts w:eastAsia="Times New Roman"/>
          <w:color w:val="000000"/>
          <w:highlight w:val="yellow"/>
          <w:lang w:eastAsia="fr-FR"/>
        </w:rPr>
        <w:t xml:space="preserve"> traditional knowledge of</w:t>
      </w:r>
      <w:r w:rsidRPr="00333CF5">
        <w:rPr>
          <w:rFonts w:eastAsia="Times New Roman"/>
          <w:color w:val="000000"/>
          <w:highlight w:val="yellow"/>
          <w:lang w:eastAsia="fr-FR"/>
        </w:rPr>
        <w:t xml:space="preserve"> indigenous people and local communities </w:t>
      </w:r>
      <w:commentRangeEnd w:id="6"/>
      <w:r>
        <w:rPr>
          <w:rStyle w:val="Marquedecommentaire"/>
          <w:rFonts w:eastAsia="Calibri"/>
          <w:spacing w:val="4"/>
          <w:w w:val="103"/>
          <w:kern w:val="14"/>
        </w:rPr>
        <w:commentReference w:id="6"/>
      </w:r>
      <w:r w:rsidR="007C3D0C">
        <w:rPr>
          <w:rFonts w:eastAsia="Times New Roman"/>
          <w:color w:val="000000"/>
          <w:lang w:eastAsia="fr-FR"/>
        </w:rPr>
        <w:t>.</w:t>
      </w:r>
    </w:p>
    <w:p w14:paraId="29CA1E32" w14:textId="5A46E444" w:rsidR="008914B8" w:rsidRPr="00D81AE9" w:rsidRDefault="008914B8" w:rsidP="007C3D0C">
      <w:pPr>
        <w:pStyle w:val="Paragraphedeliste"/>
        <w:suppressAutoHyphens w:val="0"/>
        <w:spacing w:line="240" w:lineRule="auto"/>
        <w:ind w:left="2163"/>
        <w:jc w:val="both"/>
        <w:rPr>
          <w:rFonts w:eastAsia="Times New Roman"/>
          <w:sz w:val="24"/>
          <w:szCs w:val="24"/>
          <w:lang w:eastAsia="fr-FR"/>
        </w:rPr>
      </w:pPr>
    </w:p>
    <w:p w14:paraId="49F52E7E" w14:textId="696FEE98" w:rsidR="008914B8" w:rsidRPr="00BA7BCA" w:rsidRDefault="008914B8" w:rsidP="008914B8">
      <w:pPr>
        <w:pStyle w:val="Paragraphedeliste"/>
        <w:numPr>
          <w:ilvl w:val="0"/>
          <w:numId w:val="5"/>
        </w:numPr>
        <w:spacing w:line="240" w:lineRule="auto"/>
        <w:rPr>
          <w:rFonts w:eastAsia="Times New Roman"/>
          <w:sz w:val="24"/>
          <w:szCs w:val="24"/>
          <w:lang w:eastAsia="fr-FR"/>
        </w:rPr>
      </w:pPr>
      <w:proofErr w:type="spellStart"/>
      <w:r w:rsidRPr="00BA7BCA">
        <w:rPr>
          <w:rFonts w:eastAsia="Times New Roman"/>
          <w:color w:val="000000"/>
          <w:lang w:eastAsia="fr-FR"/>
        </w:rPr>
        <w:t>Quater</w:t>
      </w:r>
      <w:proofErr w:type="spellEnd"/>
      <w:r w:rsidRPr="00BA7BCA">
        <w:rPr>
          <w:rFonts w:eastAsia="Times New Roman"/>
          <w:color w:val="000000"/>
          <w:lang w:eastAsia="fr-FR"/>
        </w:rPr>
        <w:t xml:space="preserve">. </w:t>
      </w:r>
      <w:commentRangeStart w:id="8"/>
      <w:r w:rsidRPr="00BA7BCA">
        <w:rPr>
          <w:rFonts w:eastAsia="Times New Roman"/>
          <w:color w:val="000000"/>
          <w:highlight w:val="yellow"/>
          <w:lang w:eastAsia="fr-FR"/>
        </w:rPr>
        <w:t>The rules established in these regulations aiming at protecting human remains and undersea cultural heritage shall be interpreted, as much as possible, consistently with other applicable international law norms.</w:t>
      </w:r>
      <w:r w:rsidRPr="00BA7BCA">
        <w:rPr>
          <w:rFonts w:eastAsia="Times New Roman"/>
          <w:color w:val="000000"/>
          <w:lang w:eastAsia="fr-FR"/>
        </w:rPr>
        <w:t xml:space="preserve"> </w:t>
      </w:r>
      <w:commentRangeEnd w:id="8"/>
      <w:r>
        <w:rPr>
          <w:rStyle w:val="Marquedecommentaire"/>
          <w:rFonts w:eastAsia="Calibri"/>
          <w:spacing w:val="4"/>
          <w:w w:val="103"/>
          <w:kern w:val="14"/>
        </w:rPr>
        <w:commentReference w:id="8"/>
      </w:r>
    </w:p>
    <w:p w14:paraId="5E0578CE" w14:textId="77777777" w:rsidR="008914B8" w:rsidRPr="005378EE" w:rsidRDefault="008914B8" w:rsidP="008914B8">
      <w:pPr>
        <w:pStyle w:val="Paragraphedeliste"/>
        <w:suppressAutoHyphens w:val="0"/>
        <w:spacing w:line="240" w:lineRule="auto"/>
        <w:ind w:left="2523"/>
        <w:rPr>
          <w:rFonts w:eastAsia="Times New Roman"/>
          <w:sz w:val="24"/>
          <w:szCs w:val="24"/>
          <w:lang w:eastAsia="fr-FR"/>
        </w:rPr>
      </w:pPr>
    </w:p>
    <w:p w14:paraId="12F8594B" w14:textId="77777777" w:rsidR="008914B8" w:rsidRPr="00717135" w:rsidRDefault="008914B8" w:rsidP="008914B8">
      <w:pPr>
        <w:ind w:left="1083"/>
        <w:rPr>
          <w:lang w:val="en-GB"/>
        </w:rPr>
      </w:pPr>
    </w:p>
    <w:p w14:paraId="5C865FA5" w14:textId="77777777" w:rsidR="008914B8" w:rsidRPr="005B7F04" w:rsidRDefault="008914B8" w:rsidP="008914B8">
      <w:pPr>
        <w:spacing w:after="120"/>
        <w:ind w:left="1083" w:right="1270"/>
        <w:jc w:val="both"/>
        <w:rPr>
          <w:highlight w:val="cyan"/>
        </w:rPr>
      </w:pPr>
      <w:r w:rsidRPr="005B7F04">
        <w:rPr>
          <w:highlight w:val="cyan"/>
        </w:rPr>
        <w:t>2. The Contractor shall notify the Secretary-General in writing within 48 hours the finding in the Contract Area of any human remains and/or underwater cultural heritage, and its location, including the preservation and protection measures taken</w:t>
      </w:r>
      <w:r>
        <w:rPr>
          <w:highlight w:val="cyan"/>
        </w:rPr>
        <w:t xml:space="preserve">, </w:t>
      </w:r>
      <w:r w:rsidRPr="006C53EA">
        <w:rPr>
          <w:highlight w:val="yellow"/>
          <w:lang w:val="en-US"/>
        </w:rPr>
        <w:t xml:space="preserve">on the basis of the </w:t>
      </w:r>
      <w:r>
        <w:rPr>
          <w:highlight w:val="yellow"/>
          <w:lang w:val="en-US"/>
        </w:rPr>
        <w:t>cultural management plan</w:t>
      </w:r>
      <w:r w:rsidRPr="006C53EA">
        <w:rPr>
          <w:highlight w:val="yellow"/>
          <w:lang w:val="en-US"/>
        </w:rPr>
        <w:t xml:space="preserve">, the decision of the archaeologist </w:t>
      </w:r>
      <w:proofErr w:type="spellStart"/>
      <w:r w:rsidRPr="006C53EA">
        <w:rPr>
          <w:highlight w:val="yellow"/>
          <w:lang w:val="en-US"/>
        </w:rPr>
        <w:t>surveyer</w:t>
      </w:r>
      <w:proofErr w:type="spellEnd"/>
      <w:r w:rsidRPr="006C53EA">
        <w:rPr>
          <w:highlight w:val="yellow"/>
          <w:lang w:val="en-US"/>
        </w:rPr>
        <w:t xml:space="preserve"> and the relevant professional guidelines</w:t>
      </w:r>
      <w:r>
        <w:rPr>
          <w:highlight w:val="yellow"/>
          <w:lang w:val="en-US"/>
        </w:rPr>
        <w:t>.</w:t>
      </w:r>
      <w:r w:rsidRPr="006C53EA">
        <w:rPr>
          <w:highlight w:val="yellow"/>
        </w:rPr>
        <w:t xml:space="preserve"> </w:t>
      </w:r>
      <w:r w:rsidRPr="005B7F04">
        <w:rPr>
          <w:highlight w:val="cyan"/>
        </w:rPr>
        <w:t xml:space="preserve">The Contractor shall immediately cease exploitation activities within a 200 meters radius of the finding. </w:t>
      </w:r>
    </w:p>
    <w:p w14:paraId="2A102F22" w14:textId="77777777" w:rsidR="008914B8" w:rsidRPr="009675BC" w:rsidRDefault="008914B8" w:rsidP="008914B8">
      <w:pPr>
        <w:numPr>
          <w:ilvl w:val="0"/>
          <w:numId w:val="1"/>
        </w:numPr>
        <w:spacing w:after="120"/>
        <w:ind w:right="1270"/>
        <w:rPr>
          <w:highlight w:val="cyan"/>
          <w:lang w:val="en-GB"/>
        </w:rPr>
      </w:pPr>
      <w:r w:rsidRPr="005B7F04">
        <w:rPr>
          <w:highlight w:val="cyan"/>
        </w:rPr>
        <w:t>3. The Secretary-General shall transmit such information in writing, within two (2) days of receiving it to all member States, the President of the Council,</w:t>
      </w:r>
      <w:r>
        <w:rPr>
          <w:highlight w:val="cyan"/>
        </w:rPr>
        <w:t xml:space="preserve"> [</w:t>
      </w:r>
      <w:r w:rsidRPr="009675BC">
        <w:rPr>
          <w:strike/>
          <w:highlight w:val="yellow"/>
          <w:lang w:val="en-GB"/>
        </w:rPr>
        <w:t>the Committee/</w:t>
      </w:r>
      <w:r w:rsidRPr="009675BC">
        <w:rPr>
          <w:highlight w:val="yellow"/>
          <w:lang w:val="en-GB"/>
        </w:rPr>
        <w:t xml:space="preserve"> the experts appointed or consulted by the LTC</w:t>
      </w:r>
      <w:r w:rsidRPr="009675BC">
        <w:rPr>
          <w:highlight w:val="cyan"/>
          <w:lang w:val="en-GB"/>
        </w:rPr>
        <w:t>]</w:t>
      </w:r>
      <w:r w:rsidRPr="006C53EA">
        <w:rPr>
          <w:highlight w:val="cyan"/>
        </w:rPr>
        <w:t xml:space="preserve"> the Director General of the United Nations Educational, Scientific and Cultural Organization (UNESCO), to any other competent international organization and to any other competent observer.</w:t>
      </w:r>
    </w:p>
    <w:p w14:paraId="49ECFE4C" w14:textId="77777777" w:rsidR="008914B8" w:rsidRPr="00496515" w:rsidRDefault="008914B8" w:rsidP="008914B8">
      <w:pPr>
        <w:spacing w:after="120"/>
        <w:ind w:left="1083" w:right="1270"/>
        <w:rPr>
          <w:lang w:val="en-US"/>
        </w:rPr>
      </w:pPr>
      <w:r w:rsidRPr="005B7F04">
        <w:rPr>
          <w:highlight w:val="cyan"/>
        </w:rPr>
        <w:t>4. Within ten (10) days of the notification of the discovery by the Secretary-General, any member State may declare to the President of the Council its interest in being consulted on how to ensure the effective protection of the human remains and/or underwater cultural heritage found in the Area</w:t>
      </w:r>
      <w:r>
        <w:rPr>
          <w:highlight w:val="cyan"/>
        </w:rPr>
        <w:t xml:space="preserve">. </w:t>
      </w:r>
      <w:r w:rsidRPr="006C53EA">
        <w:rPr>
          <w:highlight w:val="yellow"/>
        </w:rPr>
        <w:t>This declaration</w:t>
      </w:r>
      <w:r w:rsidRPr="006C53EA">
        <w:rPr>
          <w:highlight w:val="yellow"/>
          <w:lang w:val="en-US"/>
        </w:rPr>
        <w:t xml:space="preserve"> shall be based on a verifiable link to the human remains or Underwater Cultural Heritage concerned</w:t>
      </w:r>
      <w:r>
        <w:rPr>
          <w:highlight w:val="yellow"/>
          <w:lang w:val="en-US"/>
        </w:rPr>
        <w:t xml:space="preserve">, </w:t>
      </w:r>
      <w:r w:rsidRPr="00496515">
        <w:rPr>
          <w:lang w:val="en-US"/>
        </w:rPr>
        <w:t xml:space="preserve">particular regard being paid to the preferential rights of States of cultural, historical or archaeological </w:t>
      </w:r>
      <w:proofErr w:type="gramStart"/>
      <w:r w:rsidRPr="00496515">
        <w:rPr>
          <w:lang w:val="en-US"/>
        </w:rPr>
        <w:t>origin</w:t>
      </w:r>
      <w:r w:rsidRPr="006C53EA">
        <w:rPr>
          <w:highlight w:val="yellow"/>
          <w:lang w:val="en-US"/>
        </w:rPr>
        <w:t xml:space="preserve"> </w:t>
      </w:r>
      <w:r w:rsidRPr="005B7F04">
        <w:rPr>
          <w:highlight w:val="cyan"/>
        </w:rPr>
        <w:t>.</w:t>
      </w:r>
      <w:proofErr w:type="gramEnd"/>
      <w:r w:rsidRPr="005B7F04">
        <w:rPr>
          <w:highlight w:val="cyan"/>
        </w:rPr>
        <w:t xml:space="preserve"> The sponsoring State shall always be considered one of these interested States</w:t>
      </w:r>
      <w:r w:rsidRPr="006C53EA">
        <w:rPr>
          <w:highlight w:val="yellow"/>
        </w:rPr>
        <w:t>, as shall be the flag State</w:t>
      </w:r>
      <w:r w:rsidRPr="005B7F04">
        <w:rPr>
          <w:highlight w:val="cyan"/>
        </w:rPr>
        <w:t xml:space="preserve">. Competent organizations and </w:t>
      </w:r>
      <w:r>
        <w:rPr>
          <w:highlight w:val="yellow"/>
        </w:rPr>
        <w:t xml:space="preserve">interested </w:t>
      </w:r>
      <w:r w:rsidRPr="005B7F04">
        <w:rPr>
          <w:highlight w:val="cyan"/>
        </w:rPr>
        <w:t xml:space="preserve">observers shall have the same length of time to notify the Secretary-General their interest in being consulted. </w:t>
      </w:r>
    </w:p>
    <w:p w14:paraId="23E4865F" w14:textId="77777777" w:rsidR="008914B8" w:rsidRDefault="008914B8" w:rsidP="008914B8">
      <w:pPr>
        <w:suppressAutoHyphens w:val="0"/>
        <w:spacing w:line="240" w:lineRule="auto"/>
        <w:jc w:val="both"/>
        <w:rPr>
          <w:rFonts w:eastAsia="Times New Roman"/>
          <w:sz w:val="24"/>
          <w:szCs w:val="24"/>
          <w:highlight w:val="yellow"/>
          <w:lang w:eastAsia="fr-FR"/>
        </w:rPr>
      </w:pPr>
      <w:r w:rsidRPr="006C53EA">
        <w:rPr>
          <w:rFonts w:eastAsia="Times New Roman"/>
          <w:color w:val="000000"/>
          <w:highlight w:val="yellow"/>
          <w:lang w:eastAsia="fr-FR"/>
        </w:rPr>
        <w:t>“</w:t>
      </w:r>
      <w:commentRangeStart w:id="9"/>
      <w:r w:rsidRPr="006C53EA">
        <w:rPr>
          <w:rFonts w:eastAsia="Times New Roman"/>
          <w:color w:val="000000"/>
          <w:highlight w:val="yellow"/>
          <w:shd w:val="clear" w:color="auto" w:fill="FFFF00"/>
          <w:lang w:eastAsia="fr-FR"/>
        </w:rPr>
        <w:t>On</w:t>
      </w:r>
      <w:commentRangeEnd w:id="9"/>
      <w:r>
        <w:rPr>
          <w:rStyle w:val="Marquedecommentaire"/>
          <w:lang w:val="en-GB"/>
        </w:rPr>
        <w:commentReference w:id="9"/>
      </w:r>
      <w:r w:rsidRPr="006C53EA">
        <w:rPr>
          <w:rFonts w:eastAsia="Times New Roman"/>
          <w:color w:val="000000"/>
          <w:highlight w:val="yellow"/>
          <w:shd w:val="clear" w:color="auto" w:fill="FFFF00"/>
          <w:lang w:eastAsia="fr-FR"/>
        </w:rPr>
        <w:t xml:space="preserve"> this occasion, if a State declares that a reasonable ground exists to consider that the vessel or aircraft benefits from its sovereign immunity, the following procedure is suspended until this declaring State confirms the applicability of the immunity or dispels its suspicion, within </w:t>
      </w:r>
      <w:commentRangeStart w:id="10"/>
      <w:r w:rsidRPr="006C53EA">
        <w:rPr>
          <w:rFonts w:eastAsia="Times New Roman"/>
          <w:color w:val="000000"/>
          <w:highlight w:val="yellow"/>
          <w:shd w:val="clear" w:color="auto" w:fill="FFFF00"/>
          <w:lang w:eastAsia="fr-FR"/>
        </w:rPr>
        <w:t xml:space="preserve">30 days </w:t>
      </w:r>
      <w:commentRangeEnd w:id="10"/>
      <w:r>
        <w:rPr>
          <w:rStyle w:val="Marquedecommentaire"/>
          <w:lang w:val="en-GB"/>
        </w:rPr>
        <w:commentReference w:id="10"/>
      </w:r>
      <w:r w:rsidRPr="006C53EA">
        <w:rPr>
          <w:rFonts w:eastAsia="Times New Roman"/>
          <w:color w:val="000000"/>
          <w:highlight w:val="yellow"/>
          <w:shd w:val="clear" w:color="auto" w:fill="FFFF00"/>
          <w:lang w:eastAsia="fr-FR"/>
        </w:rPr>
        <w:t xml:space="preserve">from the declaration. The contractor shall cooperate and give all the information needed to the Authority and the declaring State. </w:t>
      </w:r>
      <w:r>
        <w:rPr>
          <w:rFonts w:eastAsia="Times New Roman"/>
          <w:sz w:val="24"/>
          <w:szCs w:val="24"/>
          <w:highlight w:val="yellow"/>
          <w:lang w:eastAsia="fr-FR"/>
        </w:rPr>
        <w:t xml:space="preserve"> </w:t>
      </w:r>
    </w:p>
    <w:p w14:paraId="1103BF69" w14:textId="77777777" w:rsidR="008914B8" w:rsidRPr="00A56C3F" w:rsidRDefault="008914B8" w:rsidP="008914B8">
      <w:pPr>
        <w:suppressAutoHyphens w:val="0"/>
        <w:spacing w:line="240" w:lineRule="auto"/>
        <w:jc w:val="both"/>
        <w:rPr>
          <w:rFonts w:eastAsia="Times New Roman"/>
          <w:color w:val="000000"/>
          <w:highlight w:val="yellow"/>
          <w:shd w:val="clear" w:color="auto" w:fill="FFFF00"/>
          <w:lang w:eastAsia="fr-FR"/>
        </w:rPr>
      </w:pPr>
      <w:r w:rsidRPr="006C53EA">
        <w:rPr>
          <w:rFonts w:eastAsia="Times New Roman"/>
          <w:color w:val="000000"/>
          <w:highlight w:val="yellow"/>
          <w:shd w:val="clear" w:color="auto" w:fill="FFFF00"/>
          <w:lang w:eastAsia="fr-FR"/>
        </w:rPr>
        <w:t xml:space="preserve">An interested State, as defined in </w:t>
      </w:r>
      <w:r>
        <w:rPr>
          <w:rFonts w:eastAsia="Times New Roman"/>
          <w:color w:val="000000"/>
          <w:highlight w:val="yellow"/>
          <w:shd w:val="clear" w:color="auto" w:fill="FFFF00"/>
          <w:lang w:eastAsia="fr-FR"/>
        </w:rPr>
        <w:t>§</w:t>
      </w:r>
      <w:r w:rsidRPr="006C53EA">
        <w:rPr>
          <w:rFonts w:eastAsia="Times New Roman"/>
          <w:color w:val="000000"/>
          <w:highlight w:val="yellow"/>
          <w:shd w:val="clear" w:color="auto" w:fill="FFFF00"/>
          <w:lang w:eastAsia="fr-FR"/>
        </w:rPr>
        <w:t>4</w:t>
      </w:r>
      <w:r>
        <w:rPr>
          <w:rFonts w:eastAsia="Times New Roman"/>
          <w:color w:val="000000"/>
          <w:highlight w:val="yellow"/>
          <w:shd w:val="clear" w:color="auto" w:fill="FFFF00"/>
          <w:lang w:eastAsia="fr-FR"/>
        </w:rPr>
        <w:t xml:space="preserve"> </w:t>
      </w:r>
      <w:r w:rsidRPr="006C53EA">
        <w:rPr>
          <w:rFonts w:eastAsia="Times New Roman"/>
          <w:color w:val="000000"/>
          <w:highlight w:val="yellow"/>
          <w:shd w:val="clear" w:color="auto" w:fill="FFFF00"/>
          <w:lang w:eastAsia="fr-FR"/>
        </w:rPr>
        <w:t xml:space="preserve">could make a sufficiently motivated reservation to this declaration </w:t>
      </w:r>
      <w:r>
        <w:rPr>
          <w:rFonts w:eastAsia="Times New Roman"/>
          <w:color w:val="000000"/>
          <w:highlight w:val="yellow"/>
          <w:shd w:val="clear" w:color="auto" w:fill="FFFF00"/>
          <w:lang w:eastAsia="fr-FR"/>
        </w:rPr>
        <w:t>[</w:t>
      </w:r>
      <w:r w:rsidRPr="006C53EA">
        <w:rPr>
          <w:rFonts w:eastAsia="Times New Roman"/>
          <w:color w:val="000000"/>
          <w:highlight w:val="yellow"/>
          <w:shd w:val="clear" w:color="auto" w:fill="FFFF00"/>
          <w:lang w:eastAsia="fr-FR"/>
        </w:rPr>
        <w:t>to the Committee</w:t>
      </w:r>
      <w:r>
        <w:rPr>
          <w:rFonts w:eastAsia="Times New Roman"/>
          <w:color w:val="000000"/>
          <w:highlight w:val="yellow"/>
          <w:shd w:val="clear" w:color="auto" w:fill="FFFF00"/>
          <w:lang w:eastAsia="fr-FR"/>
        </w:rPr>
        <w:t>]</w:t>
      </w:r>
      <w:r w:rsidRPr="006C53EA">
        <w:rPr>
          <w:rFonts w:eastAsia="Times New Roman"/>
          <w:color w:val="000000"/>
          <w:highlight w:val="yellow"/>
          <w:shd w:val="clear" w:color="auto" w:fill="FFFF00"/>
          <w:lang w:eastAsia="fr-FR"/>
        </w:rPr>
        <w:t xml:space="preserve"> if within </w:t>
      </w:r>
      <w:commentRangeStart w:id="11"/>
      <w:r w:rsidRPr="006C53EA">
        <w:rPr>
          <w:rFonts w:eastAsia="Times New Roman"/>
          <w:color w:val="000000"/>
          <w:highlight w:val="yellow"/>
          <w:shd w:val="clear" w:color="auto" w:fill="FFFF00"/>
          <w:lang w:eastAsia="fr-FR"/>
        </w:rPr>
        <w:t xml:space="preserve">30 days </w:t>
      </w:r>
      <w:commentRangeEnd w:id="11"/>
      <w:r>
        <w:rPr>
          <w:rStyle w:val="Marquedecommentaire"/>
          <w:lang w:val="en-GB"/>
        </w:rPr>
        <w:commentReference w:id="11"/>
      </w:r>
      <w:r w:rsidRPr="006C53EA">
        <w:rPr>
          <w:rFonts w:eastAsia="Times New Roman"/>
          <w:color w:val="000000"/>
          <w:highlight w:val="yellow"/>
          <w:shd w:val="clear" w:color="auto" w:fill="FFFF00"/>
          <w:lang w:eastAsia="fr-FR"/>
        </w:rPr>
        <w:t>following the declaration of potential sovereign immunity.</w:t>
      </w:r>
      <w:r w:rsidRPr="006C53EA">
        <w:rPr>
          <w:rFonts w:eastAsia="Times New Roman"/>
          <w:color w:val="000000"/>
          <w:highlight w:val="yellow"/>
          <w:lang w:eastAsia="fr-FR"/>
        </w:rPr>
        <w:t>”</w:t>
      </w:r>
    </w:p>
    <w:p w14:paraId="57D2CAE7" w14:textId="77777777" w:rsidR="008914B8" w:rsidRDefault="008914B8" w:rsidP="008914B8">
      <w:pPr>
        <w:spacing w:after="120"/>
        <w:ind w:right="1270"/>
        <w:jc w:val="both"/>
        <w:rPr>
          <w:highlight w:val="cyan"/>
        </w:rPr>
      </w:pPr>
    </w:p>
    <w:p w14:paraId="4CBEDCC1" w14:textId="77777777" w:rsidR="008914B8" w:rsidRPr="003103A9" w:rsidRDefault="008914B8" w:rsidP="008914B8">
      <w:pPr>
        <w:spacing w:line="240" w:lineRule="auto"/>
        <w:rPr>
          <w:rFonts w:eastAsia="Times New Roman"/>
          <w:sz w:val="24"/>
          <w:szCs w:val="24"/>
          <w:lang w:eastAsia="fr-FR"/>
        </w:rPr>
      </w:pPr>
      <w:commentRangeStart w:id="12"/>
      <w:r w:rsidRPr="003103A9">
        <w:rPr>
          <w:rFonts w:eastAsia="Times New Roman"/>
          <w:color w:val="000000"/>
          <w:lang w:eastAsia="fr-FR"/>
        </w:rPr>
        <w:t>“</w:t>
      </w:r>
      <w:r w:rsidRPr="003103A9">
        <w:rPr>
          <w:rFonts w:eastAsia="Times New Roman"/>
          <w:color w:val="000000"/>
          <w:shd w:val="clear" w:color="auto" w:fill="FFFF00"/>
          <w:lang w:eastAsia="fr-FR"/>
        </w:rPr>
        <w:t xml:space="preserve">In case of a discovery of isolated human remains, a decision should then directly be adopted to preserve it by establishing a </w:t>
      </w:r>
      <w:proofErr w:type="spellStart"/>
      <w:r w:rsidRPr="003103A9">
        <w:rPr>
          <w:rFonts w:eastAsia="Times New Roman"/>
          <w:color w:val="000000"/>
          <w:shd w:val="clear" w:color="auto" w:fill="FFFF00"/>
          <w:lang w:eastAsia="fr-FR"/>
        </w:rPr>
        <w:t>non exploitable</w:t>
      </w:r>
      <w:proofErr w:type="spellEnd"/>
      <w:r w:rsidRPr="003103A9">
        <w:rPr>
          <w:rFonts w:eastAsia="Times New Roman"/>
          <w:color w:val="000000"/>
          <w:shd w:val="clear" w:color="auto" w:fill="FFFF00"/>
          <w:lang w:eastAsia="fr-FR"/>
        </w:rPr>
        <w:t xml:space="preserve"> area</w:t>
      </w:r>
      <w:r w:rsidRPr="003103A9">
        <w:rPr>
          <w:rFonts w:eastAsia="Times New Roman"/>
          <w:color w:val="000000"/>
          <w:lang w:eastAsia="fr-FR"/>
        </w:rPr>
        <w:t xml:space="preserve">.”  </w:t>
      </w:r>
      <w:commentRangeEnd w:id="12"/>
      <w:r>
        <w:rPr>
          <w:rStyle w:val="Marquedecommentaire"/>
        </w:rPr>
        <w:commentReference w:id="12"/>
      </w:r>
    </w:p>
    <w:p w14:paraId="5127B3FA" w14:textId="77777777" w:rsidR="008914B8" w:rsidRDefault="008914B8" w:rsidP="008914B8">
      <w:pPr>
        <w:spacing w:after="120"/>
        <w:ind w:right="1270"/>
        <w:jc w:val="both"/>
        <w:rPr>
          <w:highlight w:val="cyan"/>
        </w:rPr>
      </w:pPr>
    </w:p>
    <w:p w14:paraId="7B304BD1" w14:textId="4010DA04" w:rsidR="008914B8" w:rsidRPr="003103A9" w:rsidRDefault="008914B8" w:rsidP="008914B8">
      <w:pPr>
        <w:spacing w:after="120" w:line="240" w:lineRule="atLeast"/>
        <w:ind w:right="1270"/>
        <w:jc w:val="both"/>
        <w:rPr>
          <w:rFonts w:eastAsia="Times New Roman"/>
          <w:sz w:val="24"/>
          <w:szCs w:val="24"/>
          <w:lang w:eastAsia="fr-FR"/>
        </w:rPr>
      </w:pPr>
      <w:r>
        <w:rPr>
          <w:highlight w:val="cyan"/>
        </w:rPr>
        <w:t xml:space="preserve">4. bis </w:t>
      </w:r>
      <w:r w:rsidRPr="008B4C48">
        <w:rPr>
          <w:rFonts w:eastAsia="Times New Roman"/>
          <w:strike/>
          <w:color w:val="000000"/>
          <w:shd w:val="clear" w:color="auto" w:fill="FFFF00"/>
          <w:lang w:eastAsia="fr-FR"/>
        </w:rPr>
        <w:t>The Committee/</w:t>
      </w:r>
      <w:r>
        <w:rPr>
          <w:rFonts w:eastAsia="Times New Roman"/>
          <w:color w:val="000000"/>
          <w:shd w:val="clear" w:color="auto" w:fill="FFFF00"/>
          <w:lang w:eastAsia="fr-FR"/>
        </w:rPr>
        <w:t xml:space="preserve"> The </w:t>
      </w:r>
      <w:r w:rsidR="00717135">
        <w:rPr>
          <w:rFonts w:eastAsia="Times New Roman"/>
          <w:color w:val="000000"/>
          <w:shd w:val="clear" w:color="auto" w:fill="FFFF00"/>
          <w:lang w:eastAsia="fr-FR"/>
        </w:rPr>
        <w:t>[</w:t>
      </w:r>
      <w:r>
        <w:rPr>
          <w:rFonts w:eastAsia="Times New Roman"/>
          <w:color w:val="000000"/>
          <w:shd w:val="clear" w:color="auto" w:fill="FFFF00"/>
          <w:lang w:eastAsia="fr-FR"/>
        </w:rPr>
        <w:t>experts</w:t>
      </w:r>
      <w:r w:rsidR="00717135">
        <w:rPr>
          <w:rFonts w:eastAsia="Times New Roman"/>
          <w:color w:val="000000"/>
          <w:shd w:val="clear" w:color="auto" w:fill="FFFF00"/>
          <w:lang w:eastAsia="fr-FR"/>
        </w:rPr>
        <w:t>]</w:t>
      </w:r>
      <w:r>
        <w:rPr>
          <w:rFonts w:eastAsia="Times New Roman"/>
          <w:color w:val="000000"/>
          <w:shd w:val="clear" w:color="auto" w:fill="FFFF00"/>
          <w:lang w:eastAsia="fr-FR"/>
        </w:rPr>
        <w:t xml:space="preserve"> [consulted][appointed] by the LTC</w:t>
      </w:r>
      <w:r w:rsidRPr="003103A9">
        <w:rPr>
          <w:rFonts w:eastAsia="Times New Roman"/>
          <w:color w:val="000000"/>
          <w:shd w:val="clear" w:color="auto" w:fill="FFFF00"/>
          <w:lang w:eastAsia="fr-FR"/>
        </w:rPr>
        <w:t xml:space="preserve"> shall make recommendations within 30 days after the notification to the Committee by the SG. This period shall be extended to 10 ten days after the confirmation of the nature of the wreck by the declaring State when applicable. In this case and if a reservation was regularly expressed by another interested State</w:t>
      </w:r>
      <w:r w:rsidRPr="008B4C48">
        <w:rPr>
          <w:rFonts w:eastAsia="Times New Roman"/>
          <w:strike/>
          <w:color w:val="000000"/>
          <w:shd w:val="clear" w:color="auto" w:fill="FFFF00"/>
          <w:lang w:eastAsia="fr-FR"/>
        </w:rPr>
        <w:t>, the Committee</w:t>
      </w:r>
      <w:r w:rsidRPr="003103A9">
        <w:rPr>
          <w:rFonts w:eastAsia="Times New Roman"/>
          <w:color w:val="000000"/>
          <w:shd w:val="clear" w:color="auto" w:fill="FFFF00"/>
          <w:lang w:eastAsia="fr-FR"/>
        </w:rPr>
        <w:t xml:space="preserve"> </w:t>
      </w:r>
      <w:r>
        <w:rPr>
          <w:rFonts w:eastAsia="Times New Roman"/>
          <w:color w:val="000000"/>
          <w:shd w:val="clear" w:color="auto" w:fill="FFFF00"/>
          <w:lang w:eastAsia="fr-FR"/>
        </w:rPr>
        <w:t>the experts [consulted][appointed] by the LTC</w:t>
      </w:r>
      <w:r w:rsidRPr="003103A9">
        <w:rPr>
          <w:rFonts w:eastAsia="Times New Roman"/>
          <w:color w:val="000000"/>
          <w:shd w:val="clear" w:color="auto" w:fill="FFFF00"/>
          <w:lang w:eastAsia="fr-FR"/>
        </w:rPr>
        <w:t xml:space="preserve"> give</w:t>
      </w:r>
      <w:r>
        <w:rPr>
          <w:rFonts w:eastAsia="Times New Roman"/>
          <w:color w:val="000000"/>
          <w:shd w:val="clear" w:color="auto" w:fill="FFFF00"/>
          <w:lang w:eastAsia="fr-FR"/>
        </w:rPr>
        <w:t xml:space="preserve"> their</w:t>
      </w:r>
      <w:r w:rsidRPr="003103A9">
        <w:rPr>
          <w:rFonts w:eastAsia="Times New Roman"/>
          <w:color w:val="000000"/>
          <w:shd w:val="clear" w:color="auto" w:fill="FFFF00"/>
          <w:lang w:eastAsia="fr-FR"/>
        </w:rPr>
        <w:t xml:space="preserve"> opinion on the reasonable character of the elements provided by the declaring State and provide for recommendations for the protection of the elements in discussion within 10 days after the confirmation of the nature of the wreck by the declaring State on the basis of the information provided by the declaring State, and, if applicable, of the </w:t>
      </w:r>
      <w:r>
        <w:rPr>
          <w:rFonts w:eastAsia="Times New Roman"/>
          <w:color w:val="000000"/>
          <w:shd w:val="clear" w:color="auto" w:fill="FFFF00"/>
          <w:lang w:eastAsia="fr-FR"/>
        </w:rPr>
        <w:t>reserving</w:t>
      </w:r>
      <w:r w:rsidRPr="003103A9">
        <w:rPr>
          <w:rFonts w:eastAsia="Times New Roman"/>
          <w:color w:val="000000"/>
          <w:shd w:val="clear" w:color="auto" w:fill="FFFF00"/>
          <w:lang w:eastAsia="fr-FR"/>
        </w:rPr>
        <w:t xml:space="preserve"> State. </w:t>
      </w:r>
      <w:r w:rsidRPr="008B4C48">
        <w:rPr>
          <w:rFonts w:eastAsia="Times New Roman"/>
          <w:strike/>
          <w:color w:val="000000"/>
          <w:shd w:val="clear" w:color="auto" w:fill="FFFF00"/>
          <w:lang w:eastAsia="fr-FR"/>
        </w:rPr>
        <w:t>The Committee</w:t>
      </w:r>
      <w:r>
        <w:rPr>
          <w:rFonts w:eastAsia="Times New Roman"/>
          <w:color w:val="000000"/>
          <w:shd w:val="clear" w:color="auto" w:fill="FFFF00"/>
          <w:lang w:eastAsia="fr-FR"/>
        </w:rPr>
        <w:t xml:space="preserve"> The experts [consulted][appointed] by the LTC</w:t>
      </w:r>
      <w:r w:rsidRPr="003103A9">
        <w:rPr>
          <w:rFonts w:eastAsia="Times New Roman"/>
          <w:color w:val="000000"/>
          <w:shd w:val="clear" w:color="auto" w:fill="FFFF00"/>
          <w:lang w:eastAsia="fr-FR"/>
        </w:rPr>
        <w:t xml:space="preserve"> </w:t>
      </w:r>
      <w:r>
        <w:rPr>
          <w:rFonts w:eastAsia="Times New Roman"/>
          <w:color w:val="000000"/>
          <w:shd w:val="clear" w:color="auto" w:fill="FFFF00"/>
          <w:lang w:eastAsia="fr-FR"/>
        </w:rPr>
        <w:t>are</w:t>
      </w:r>
      <w:r w:rsidRPr="003103A9">
        <w:rPr>
          <w:rFonts w:eastAsia="Times New Roman"/>
          <w:color w:val="000000"/>
          <w:shd w:val="clear" w:color="auto" w:fill="FFFF00"/>
          <w:lang w:eastAsia="fr-FR"/>
        </w:rPr>
        <w:t xml:space="preserve"> free to ask complementary information to all parties involved. </w:t>
      </w:r>
    </w:p>
    <w:p w14:paraId="06D99481" w14:textId="62F4F29A" w:rsidR="008914B8" w:rsidRDefault="008914B8" w:rsidP="008914B8">
      <w:pPr>
        <w:spacing w:after="120" w:line="240" w:lineRule="atLeast"/>
        <w:ind w:right="1270"/>
        <w:jc w:val="both"/>
        <w:rPr>
          <w:rFonts w:eastAsia="Times New Roman"/>
          <w:color w:val="000000"/>
          <w:shd w:val="clear" w:color="auto" w:fill="FFFF00"/>
          <w:lang w:eastAsia="fr-FR"/>
        </w:rPr>
      </w:pPr>
      <w:r w:rsidRPr="003103A9">
        <w:rPr>
          <w:rFonts w:eastAsia="Times New Roman"/>
          <w:color w:val="000000"/>
          <w:shd w:val="clear" w:color="auto" w:fill="FFFF00"/>
          <w:lang w:eastAsia="fr-FR"/>
        </w:rPr>
        <w:t>If the wreck and associated human remains and objects are protected by sovereign immunity, a decision shall be taken by the Council, in accordance with art.</w:t>
      </w:r>
      <w:r>
        <w:rPr>
          <w:rFonts w:eastAsia="Times New Roman"/>
          <w:color w:val="000000"/>
          <w:shd w:val="clear" w:color="auto" w:fill="FFFF00"/>
          <w:lang w:eastAsia="fr-FR"/>
        </w:rPr>
        <w:t>35</w:t>
      </w:r>
      <w:r w:rsidRPr="003103A9">
        <w:rPr>
          <w:rFonts w:eastAsia="Times New Roman"/>
          <w:color w:val="000000"/>
          <w:shd w:val="clear" w:color="auto" w:fill="FFFF00"/>
          <w:lang w:eastAsia="fr-FR"/>
        </w:rPr>
        <w:t xml:space="preserve"> § 5. If the wreck is not, or if no confirmation has been provided within the </w:t>
      </w:r>
      <w:commentRangeStart w:id="13"/>
      <w:r w:rsidRPr="003103A9">
        <w:rPr>
          <w:rFonts w:eastAsia="Times New Roman"/>
          <w:color w:val="000000"/>
          <w:shd w:val="clear" w:color="auto" w:fill="FFFF00"/>
          <w:lang w:eastAsia="fr-FR"/>
        </w:rPr>
        <w:t xml:space="preserve">30 days </w:t>
      </w:r>
      <w:commentRangeEnd w:id="13"/>
      <w:r>
        <w:rPr>
          <w:rStyle w:val="Marquedecommentaire"/>
          <w:lang w:val="en-GB"/>
        </w:rPr>
        <w:commentReference w:id="13"/>
      </w:r>
      <w:r w:rsidRPr="003103A9">
        <w:rPr>
          <w:rFonts w:eastAsia="Times New Roman"/>
          <w:color w:val="000000"/>
          <w:shd w:val="clear" w:color="auto" w:fill="FFFF00"/>
          <w:lang w:eastAsia="fr-FR"/>
        </w:rPr>
        <w:t>by the State that had made the previous declaration, the procedure shall proceed as herein after described, taking into account the time that was needed for establishing the status of the wreck. </w:t>
      </w:r>
    </w:p>
    <w:p w14:paraId="6422CAD7" w14:textId="77777777" w:rsidR="008914B8" w:rsidRDefault="008914B8" w:rsidP="008914B8">
      <w:pPr>
        <w:spacing w:after="120" w:line="240" w:lineRule="atLeast"/>
        <w:ind w:right="1270"/>
        <w:jc w:val="both"/>
        <w:rPr>
          <w:rFonts w:eastAsia="Times New Roman"/>
          <w:color w:val="000000"/>
          <w:shd w:val="clear" w:color="auto" w:fill="FFFF00"/>
          <w:lang w:eastAsia="fr-FR"/>
        </w:rPr>
      </w:pPr>
      <w:r>
        <w:rPr>
          <w:rFonts w:eastAsia="Times New Roman"/>
          <w:color w:val="000000"/>
          <w:shd w:val="clear" w:color="auto" w:fill="FFFF00"/>
          <w:lang w:eastAsia="fr-FR"/>
        </w:rPr>
        <w:t xml:space="preserve">The views of interested States, competent organizations and interested observers shall be transmitted within </w:t>
      </w:r>
      <w:r w:rsidRPr="00DA1202">
        <w:rPr>
          <w:rFonts w:eastAsia="Times New Roman"/>
          <w:color w:val="000000"/>
          <w:shd w:val="clear" w:color="auto" w:fill="FFFF00"/>
          <w:lang w:eastAsia="fr-FR"/>
        </w:rPr>
        <w:t xml:space="preserve">20 days after their declaration of interest, by </w:t>
      </w:r>
      <w:r>
        <w:rPr>
          <w:rFonts w:eastAsia="Times New Roman"/>
          <w:color w:val="000000"/>
          <w:shd w:val="clear" w:color="auto" w:fill="FFFF00"/>
          <w:lang w:eastAsia="fr-FR"/>
        </w:rPr>
        <w:t>[</w:t>
      </w:r>
      <w:r w:rsidRPr="00DA1202">
        <w:rPr>
          <w:rFonts w:eastAsia="Times New Roman"/>
          <w:color w:val="000000"/>
          <w:shd w:val="clear" w:color="auto" w:fill="FFFF00"/>
          <w:lang w:eastAsia="fr-FR"/>
        </w:rPr>
        <w:t>means yet to be determined</w:t>
      </w:r>
      <w:r>
        <w:rPr>
          <w:rFonts w:eastAsia="Times New Roman"/>
          <w:color w:val="000000"/>
          <w:shd w:val="clear" w:color="auto" w:fill="FFFF00"/>
          <w:lang w:eastAsia="fr-FR"/>
        </w:rPr>
        <w:t>].</w:t>
      </w:r>
    </w:p>
    <w:p w14:paraId="25CC79DE" w14:textId="77777777" w:rsidR="008914B8" w:rsidRPr="009675BC" w:rsidRDefault="008914B8" w:rsidP="008914B8">
      <w:pPr>
        <w:spacing w:after="120" w:line="240" w:lineRule="atLeast"/>
        <w:ind w:right="1270"/>
        <w:jc w:val="both"/>
        <w:rPr>
          <w:highlight w:val="yellow"/>
          <w:lang w:val="en-GB"/>
        </w:rPr>
      </w:pPr>
      <w:r w:rsidRPr="005B7F04">
        <w:rPr>
          <w:highlight w:val="cyan"/>
        </w:rPr>
        <w:t xml:space="preserve">5. After ascertaining the views of </w:t>
      </w:r>
      <w:r w:rsidRPr="008D2911">
        <w:rPr>
          <w:highlight w:val="yellow"/>
        </w:rPr>
        <w:t>interested</w:t>
      </w:r>
      <w:r>
        <w:rPr>
          <w:highlight w:val="cyan"/>
        </w:rPr>
        <w:t xml:space="preserve"> </w:t>
      </w:r>
      <w:r w:rsidRPr="005B7F04">
        <w:rPr>
          <w:highlight w:val="cyan"/>
        </w:rPr>
        <w:t xml:space="preserve">member States, </w:t>
      </w:r>
      <w:commentRangeStart w:id="14"/>
      <w:r w:rsidRPr="0036096A">
        <w:rPr>
          <w:strike/>
          <w:highlight w:val="cyan"/>
        </w:rPr>
        <w:t>particularly those with preferential rights under Article 149 of the Convention</w:t>
      </w:r>
      <w:commentRangeEnd w:id="14"/>
      <w:r>
        <w:rPr>
          <w:rStyle w:val="Marquedecommentaire"/>
          <w:lang w:val="en-GB"/>
        </w:rPr>
        <w:commentReference w:id="14"/>
      </w:r>
      <w:r w:rsidRPr="0036096A">
        <w:rPr>
          <w:strike/>
          <w:highlight w:val="cyan"/>
        </w:rPr>
        <w:t>,</w:t>
      </w:r>
      <w:r w:rsidRPr="005B7F04">
        <w:rPr>
          <w:highlight w:val="cyan"/>
        </w:rPr>
        <w:t xml:space="preserve"> within </w:t>
      </w:r>
      <w:commentRangeStart w:id="15"/>
      <w:commentRangeStart w:id="16"/>
      <w:r w:rsidRPr="005B7F04">
        <w:rPr>
          <w:highlight w:val="cyan"/>
        </w:rPr>
        <w:t xml:space="preserve">ninety (90) days </w:t>
      </w:r>
      <w:commentRangeEnd w:id="15"/>
      <w:r>
        <w:rPr>
          <w:rStyle w:val="Marquedecommentaire"/>
          <w:lang w:val="en-GB"/>
        </w:rPr>
        <w:commentReference w:id="15"/>
      </w:r>
      <w:commentRangeEnd w:id="16"/>
      <w:r w:rsidR="00717135">
        <w:rPr>
          <w:rStyle w:val="Marquedecommentaire"/>
          <w:lang w:val="en-GB"/>
        </w:rPr>
        <w:commentReference w:id="16"/>
      </w:r>
      <w:r w:rsidRPr="005B7F04">
        <w:rPr>
          <w:highlight w:val="cyan"/>
        </w:rPr>
        <w:t>of the notification of the discovery by the Secretary-General</w:t>
      </w:r>
      <w:commentRangeStart w:id="17"/>
      <w:r w:rsidRPr="005B7F04">
        <w:rPr>
          <w:highlight w:val="cyan"/>
        </w:rPr>
        <w:t xml:space="preserve">, the Council </w:t>
      </w:r>
      <w:commentRangeEnd w:id="17"/>
      <w:r>
        <w:rPr>
          <w:rStyle w:val="Marquedecommentaire"/>
        </w:rPr>
        <w:commentReference w:id="17"/>
      </w:r>
      <w:r w:rsidRPr="005B7F04">
        <w:rPr>
          <w:highlight w:val="cyan"/>
        </w:rPr>
        <w:t>shall make a decision as to whether or not exploitation activities shall be terminated within an area surrounding the discovered human remains and/or underwater cultural heritage. The Council may suggest to the Member States any measure to preserve the human remains and/or underwater cultural heritage in their archaeological and natural context, for the benefit of humankind as a whole. In adopting its decisions</w:t>
      </w:r>
      <w:r>
        <w:rPr>
          <w:highlight w:val="cyan"/>
        </w:rPr>
        <w:t xml:space="preserve"> based on </w:t>
      </w:r>
      <w:r>
        <w:rPr>
          <w:highlight w:val="yellow"/>
          <w:lang w:val="en-US"/>
        </w:rPr>
        <w:t>professional standards</w:t>
      </w:r>
      <w:r w:rsidRPr="005B7F04">
        <w:rPr>
          <w:highlight w:val="cyan"/>
        </w:rPr>
        <w:t xml:space="preserve">, the Council shall take into account </w:t>
      </w:r>
      <w:r w:rsidRPr="005378EE">
        <w:rPr>
          <w:highlight w:val="yellow"/>
          <w:lang w:val="en-US"/>
        </w:rPr>
        <w:t xml:space="preserve">taking into account the recommendations </w:t>
      </w:r>
      <w:r w:rsidRPr="005378EE">
        <w:rPr>
          <w:strike/>
          <w:highlight w:val="yellow"/>
          <w:lang w:val="en-US"/>
        </w:rPr>
        <w:t>of the Committee</w:t>
      </w:r>
      <w:r w:rsidRPr="005378EE">
        <w:rPr>
          <w:highlight w:val="yellow"/>
          <w:lang w:val="en-US"/>
        </w:rPr>
        <w:t xml:space="preserve"> </w:t>
      </w:r>
      <w:r>
        <w:rPr>
          <w:highlight w:val="yellow"/>
          <w:lang w:val="en-US"/>
        </w:rPr>
        <w:t xml:space="preserve">of the </w:t>
      </w:r>
      <w:r w:rsidRPr="005378EE">
        <w:rPr>
          <w:highlight w:val="yellow"/>
          <w:lang w:val="en-US"/>
        </w:rPr>
        <w:t>Commission</w:t>
      </w:r>
      <w:r>
        <w:rPr>
          <w:highlight w:val="yellow"/>
          <w:lang w:val="en-US"/>
        </w:rPr>
        <w:t xml:space="preserve">, </w:t>
      </w:r>
      <w:r w:rsidRPr="005378EE">
        <w:rPr>
          <w:highlight w:val="cyan"/>
        </w:rPr>
        <w:t>the views of the United Nations Educational, Scientific and Cultural Organization and other competent organizations. The Council may also take into account the views of other competent observers.</w:t>
      </w:r>
      <w:r w:rsidRPr="005378EE">
        <w:rPr>
          <w:highlight w:val="cyan"/>
          <w:lang w:val="en-US"/>
        </w:rPr>
        <w:t xml:space="preserve">  </w:t>
      </w:r>
      <w:r w:rsidRPr="005378EE">
        <w:rPr>
          <w:highlight w:val="yellow"/>
          <w:lang w:val="en-US"/>
        </w:rPr>
        <w:t xml:space="preserve">Where appropriate, it shall be based </w:t>
      </w:r>
      <w:proofErr w:type="gramStart"/>
      <w:r w:rsidRPr="005378EE">
        <w:rPr>
          <w:highlight w:val="yellow"/>
          <w:lang w:val="en-US"/>
        </w:rPr>
        <w:t>on  the</w:t>
      </w:r>
      <w:proofErr w:type="gramEnd"/>
      <w:r w:rsidRPr="005378EE">
        <w:rPr>
          <w:highlight w:val="yellow"/>
          <w:lang w:val="en-US"/>
        </w:rPr>
        <w:t xml:space="preserve"> consent of the reporting State.</w:t>
      </w:r>
    </w:p>
    <w:p w14:paraId="306BF25F" w14:textId="77777777" w:rsidR="008914B8" w:rsidRPr="00C835A4" w:rsidRDefault="008914B8" w:rsidP="008914B8">
      <w:pPr>
        <w:spacing w:after="120"/>
        <w:ind w:left="1083" w:right="1270"/>
        <w:jc w:val="both"/>
        <w:rPr>
          <w:strike/>
          <w:highlight w:val="cyan"/>
        </w:rPr>
      </w:pPr>
      <w:commentRangeStart w:id="18"/>
      <w:r w:rsidRPr="00C835A4">
        <w:rPr>
          <w:strike/>
          <w:highlight w:val="cyan"/>
        </w:rPr>
        <w:t xml:space="preserve">6. No activity directed at, or incidentally affecting, sunken State vessels and aircraft shall be undertaken or authorised without the consent of the flag State. </w:t>
      </w:r>
      <w:commentRangeEnd w:id="18"/>
      <w:r>
        <w:rPr>
          <w:rStyle w:val="Marquedecommentaire"/>
        </w:rPr>
        <w:commentReference w:id="18"/>
      </w:r>
    </w:p>
    <w:p w14:paraId="383DED3F" w14:textId="77777777" w:rsidR="008914B8" w:rsidRPr="00C835A4" w:rsidRDefault="008914B8" w:rsidP="008914B8">
      <w:pPr>
        <w:spacing w:after="120"/>
        <w:ind w:left="1083" w:right="1270"/>
        <w:jc w:val="both"/>
        <w:rPr>
          <w:strike/>
          <w:highlight w:val="cyan"/>
        </w:rPr>
      </w:pPr>
      <w:commentRangeStart w:id="19"/>
      <w:r w:rsidRPr="00C835A4">
        <w:rPr>
          <w:strike/>
          <w:highlight w:val="cyan"/>
        </w:rPr>
        <w:t xml:space="preserve">7. Any measure decided under this regulation shall be adopted or suggested in accordance with applicable standards and taking into consideration adopted guidelines. </w:t>
      </w:r>
      <w:commentRangeEnd w:id="19"/>
      <w:r>
        <w:rPr>
          <w:rStyle w:val="Marquedecommentaire"/>
        </w:rPr>
        <w:commentReference w:id="19"/>
      </w:r>
    </w:p>
    <w:p w14:paraId="3AC34F59" w14:textId="77777777" w:rsidR="008914B8" w:rsidRPr="005B7F04" w:rsidRDefault="008914B8" w:rsidP="008914B8">
      <w:pPr>
        <w:spacing w:after="120"/>
        <w:ind w:left="1083" w:right="1270"/>
        <w:jc w:val="both"/>
        <w:rPr>
          <w:highlight w:val="cyan"/>
        </w:rPr>
      </w:pPr>
      <w:commentRangeStart w:id="20"/>
      <w:r w:rsidRPr="005B7F04">
        <w:rPr>
          <w:highlight w:val="cyan"/>
        </w:rPr>
        <w:t xml:space="preserve">8. The Contractor shall not be entitled to compensation for any measure required in this regulation. </w:t>
      </w:r>
      <w:commentRangeEnd w:id="20"/>
      <w:r>
        <w:rPr>
          <w:rStyle w:val="Marquedecommentaire"/>
        </w:rPr>
        <w:commentReference w:id="20"/>
      </w:r>
    </w:p>
    <w:p w14:paraId="71C7CB6B" w14:textId="77777777" w:rsidR="008914B8" w:rsidRDefault="008914B8" w:rsidP="008914B8">
      <w:pPr>
        <w:spacing w:after="120"/>
        <w:ind w:left="1083" w:right="1270"/>
        <w:jc w:val="both"/>
        <w:rPr>
          <w:color w:val="000000"/>
        </w:rPr>
      </w:pPr>
      <w:r w:rsidRPr="005B7F04">
        <w:rPr>
          <w:highlight w:val="cyan"/>
        </w:rPr>
        <w:t>9. The Council shall forward to the Seabed Mining Register all information, except for confidential information, used in making its decision under paragraph 5 of this regulation.</w:t>
      </w:r>
    </w:p>
    <w:p w14:paraId="18D3A9A8" w14:textId="77777777" w:rsidR="008914B8" w:rsidRDefault="008914B8" w:rsidP="008914B8">
      <w:pPr>
        <w:spacing w:after="120"/>
        <w:ind w:right="1270"/>
        <w:jc w:val="both"/>
        <w:rPr>
          <w:color w:val="000000"/>
        </w:rPr>
      </w:pPr>
    </w:p>
    <w:p w14:paraId="7D6C6A67" w14:textId="77777777" w:rsidR="002D3661" w:rsidRDefault="002D3661"/>
    <w:sectPr w:rsidR="002D366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531B1776" w14:textId="77777777" w:rsidR="005D6C4B" w:rsidRDefault="005D6C4B" w:rsidP="008914B8">
      <w:pPr>
        <w:pStyle w:val="Commentaire"/>
        <w:rPr>
          <w:rStyle w:val="Marquedecommentaire"/>
        </w:rPr>
      </w:pPr>
      <w:r>
        <w:rPr>
          <w:rStyle w:val="Marquedecommentaire"/>
        </w:rPr>
        <w:t xml:space="preserve">France thanks Spain for this proposal, the insightful non-paper and the further explanations during the last IWG meeting. </w:t>
      </w:r>
    </w:p>
    <w:p w14:paraId="0B204729" w14:textId="6BA88709" w:rsidR="008914B8" w:rsidRDefault="005D6C4B" w:rsidP="008914B8">
      <w:pPr>
        <w:pStyle w:val="Commentaire"/>
        <w:rPr>
          <w:rStyle w:val="Marquedecommentaire"/>
        </w:rPr>
      </w:pPr>
      <w:r>
        <w:rPr>
          <w:rStyle w:val="Marquedecommentaire"/>
        </w:rPr>
        <w:t>To our view, t</w:t>
      </w:r>
      <w:r w:rsidR="008914B8">
        <w:rPr>
          <w:rStyle w:val="Marquedecommentaire"/>
        </w:rPr>
        <w:t xml:space="preserve">his proposal presents several elements that are in accordance with our position (simplification of the process, deletion of the compensation, decisions by the Council for instance). Nevertheless, we would like to draw attention on the several following points that justify our proposed </w:t>
      </w:r>
      <w:proofErr w:type="gramStart"/>
      <w:r w:rsidR="008914B8">
        <w:rPr>
          <w:rStyle w:val="Marquedecommentaire"/>
        </w:rPr>
        <w:t>modification :</w:t>
      </w:r>
      <w:proofErr w:type="gramEnd"/>
      <w:r w:rsidR="008914B8">
        <w:rPr>
          <w:rStyle w:val="Marquedecommentaire"/>
        </w:rPr>
        <w:t xml:space="preserve"> </w:t>
      </w:r>
    </w:p>
    <w:p w14:paraId="70569B0D" w14:textId="77777777" w:rsidR="008914B8" w:rsidRDefault="008914B8" w:rsidP="008914B8">
      <w:pPr>
        <w:pStyle w:val="Commentaire"/>
        <w:rPr>
          <w:rStyle w:val="Marquedecommentaire"/>
        </w:rPr>
      </w:pPr>
    </w:p>
    <w:p w14:paraId="4587338A" w14:textId="36B88822" w:rsidR="008914B8" w:rsidRDefault="008914B8" w:rsidP="008914B8">
      <w:pPr>
        <w:pStyle w:val="Commentaire"/>
        <w:rPr>
          <w:rStyle w:val="Marquedecommentaire"/>
        </w:rPr>
      </w:pPr>
      <w:r>
        <w:rPr>
          <w:rStyle w:val="Marquedecommentaire"/>
        </w:rPr>
        <w:t xml:space="preserve">-effective protection of human remains and UCH is threatened by the deletion of all measures that would encourage the contractor to notify a discovery. Therefore, the deletion of the compensation (which is a good point for us) shall be replaced by another measure, such as the involvement of an </w:t>
      </w:r>
      <w:proofErr w:type="spellStart"/>
      <w:r>
        <w:rPr>
          <w:rStyle w:val="Marquedecommentaire"/>
        </w:rPr>
        <w:t>archeology</w:t>
      </w:r>
      <w:proofErr w:type="spellEnd"/>
      <w:r>
        <w:rPr>
          <w:rStyle w:val="Marquedecommentaire"/>
        </w:rPr>
        <w:t xml:space="preserve"> </w:t>
      </w:r>
      <w:proofErr w:type="spellStart"/>
      <w:r>
        <w:rPr>
          <w:rStyle w:val="Marquedecommentaire"/>
        </w:rPr>
        <w:t>surveyer</w:t>
      </w:r>
      <w:proofErr w:type="spellEnd"/>
      <w:r w:rsidR="005D6C4B">
        <w:rPr>
          <w:rStyle w:val="Marquedecommentaire"/>
        </w:rPr>
        <w:t xml:space="preserve"> that is (</w:t>
      </w:r>
      <w:proofErr w:type="spellStart"/>
      <w:r w:rsidR="005D6C4B">
        <w:rPr>
          <w:rStyle w:val="Marquedecommentaire"/>
        </w:rPr>
        <w:t>i</w:t>
      </w:r>
      <w:proofErr w:type="spellEnd"/>
      <w:r w:rsidR="005D6C4B">
        <w:rPr>
          <w:rStyle w:val="Marquedecommentaire"/>
        </w:rPr>
        <w:t>) able to detect the UCH and HR and (ii) could have some responsibilities during the notification process</w:t>
      </w:r>
      <w:r>
        <w:rPr>
          <w:rStyle w:val="Marquedecommentaire"/>
        </w:rPr>
        <w:t xml:space="preserve">; </w:t>
      </w:r>
    </w:p>
    <w:p w14:paraId="6ED10BAC" w14:textId="77777777" w:rsidR="008914B8" w:rsidRDefault="008914B8" w:rsidP="008914B8">
      <w:pPr>
        <w:pStyle w:val="Commentaire"/>
        <w:rPr>
          <w:rStyle w:val="Marquedecommentaire"/>
        </w:rPr>
      </w:pPr>
    </w:p>
    <w:p w14:paraId="64B9BDD1" w14:textId="732C470C" w:rsidR="008914B8" w:rsidRDefault="008914B8" w:rsidP="008914B8">
      <w:pPr>
        <w:pStyle w:val="Commentaire"/>
        <w:rPr>
          <w:rStyle w:val="Marquedecommentaire"/>
        </w:rPr>
      </w:pPr>
      <w:r>
        <w:rPr>
          <w:rStyle w:val="Marquedecommentaire"/>
        </w:rPr>
        <w:t xml:space="preserve">-the respect of the consent of the State whose wreck is under sovereign immunity is not </w:t>
      </w:r>
      <w:r w:rsidR="005D6C4B">
        <w:rPr>
          <w:rStyle w:val="Marquedecommentaire"/>
        </w:rPr>
        <w:t xml:space="preserve">explicitly </w:t>
      </w:r>
      <w:r>
        <w:rPr>
          <w:rStyle w:val="Marquedecommentaire"/>
        </w:rPr>
        <w:t xml:space="preserve">guaranteed in the </w:t>
      </w:r>
      <w:proofErr w:type="gramStart"/>
      <w:r>
        <w:rPr>
          <w:rStyle w:val="Marquedecommentaire"/>
        </w:rPr>
        <w:t>procedure ;</w:t>
      </w:r>
      <w:proofErr w:type="gramEnd"/>
    </w:p>
    <w:p w14:paraId="44B3F057" w14:textId="77777777" w:rsidR="008914B8" w:rsidRDefault="008914B8" w:rsidP="008914B8">
      <w:pPr>
        <w:pStyle w:val="Commentaire"/>
        <w:rPr>
          <w:rStyle w:val="Marquedecommentaire"/>
        </w:rPr>
      </w:pPr>
    </w:p>
    <w:p w14:paraId="46180548" w14:textId="1D87227C" w:rsidR="008914B8" w:rsidRDefault="008914B8" w:rsidP="008914B8">
      <w:pPr>
        <w:pStyle w:val="Commentaire"/>
        <w:rPr>
          <w:rStyle w:val="Marquedecommentaire"/>
        </w:rPr>
      </w:pPr>
      <w:r>
        <w:rPr>
          <w:rStyle w:val="Marquedecommentaire"/>
        </w:rPr>
        <w:t>-</w:t>
      </w:r>
      <w:r w:rsidR="005D6C4B">
        <w:rPr>
          <w:rStyle w:val="Marquedecommentaire"/>
        </w:rPr>
        <w:t>The process for</w:t>
      </w:r>
      <w:r>
        <w:rPr>
          <w:rStyle w:val="Marquedecommentaire"/>
        </w:rPr>
        <w:t xml:space="preserve"> interested States to transmit their views to the Council</w:t>
      </w:r>
      <w:r w:rsidR="005D6C4B">
        <w:rPr>
          <w:rStyle w:val="Marquedecommentaire"/>
        </w:rPr>
        <w:t xml:space="preserve"> is </w:t>
      </w:r>
      <w:r w:rsidR="00FD66EB">
        <w:rPr>
          <w:rStyle w:val="Marquedecommentaire"/>
        </w:rPr>
        <w:t>not mentioned in the Reg.</w:t>
      </w:r>
      <w:r w:rsidR="00717135">
        <w:rPr>
          <w:rStyle w:val="Marquedecommentaire"/>
        </w:rPr>
        <w:t xml:space="preserve"> </w:t>
      </w:r>
      <w:r w:rsidR="00FD66EB">
        <w:rPr>
          <w:rStyle w:val="Marquedecommentaire"/>
        </w:rPr>
        <w:t xml:space="preserve">Spain mentioned the UNESCO process on that point during the IWG. How would it be translated here? </w:t>
      </w:r>
      <w:r w:rsidR="00717135">
        <w:rPr>
          <w:rStyle w:val="Marquedecommentaire"/>
        </w:rPr>
        <w:t xml:space="preserve"> </w:t>
      </w:r>
    </w:p>
    <w:p w14:paraId="228F8688" w14:textId="77777777" w:rsidR="008914B8" w:rsidRDefault="008914B8" w:rsidP="008914B8">
      <w:pPr>
        <w:pStyle w:val="Commentaire"/>
        <w:rPr>
          <w:rStyle w:val="Marquedecommentaire"/>
        </w:rPr>
      </w:pPr>
    </w:p>
    <w:p w14:paraId="7728CE0B" w14:textId="77777777" w:rsidR="008914B8" w:rsidRDefault="008914B8" w:rsidP="008914B8">
      <w:pPr>
        <w:pStyle w:val="Commentaire"/>
        <w:rPr>
          <w:rStyle w:val="Marquedecommentaire"/>
        </w:rPr>
      </w:pPr>
      <w:r>
        <w:rPr>
          <w:rStyle w:val="Marquedecommentaire"/>
        </w:rPr>
        <w:t xml:space="preserve">-Some elements of language of the UNESCO Convention 2001 could be used without prejudice to non-Parties States such as the Rules of the Annex, that are recognized </w:t>
      </w:r>
      <w:r w:rsidRPr="00FD66EB">
        <w:rPr>
          <w:rStyle w:val="Marquedecommentaire"/>
          <w:i/>
          <w:iCs/>
        </w:rPr>
        <w:t>professional and technical</w:t>
      </w:r>
      <w:r>
        <w:rPr>
          <w:rStyle w:val="Marquedecommentaire"/>
        </w:rPr>
        <w:t xml:space="preserve"> norms (see Omnibus resolution) through a reference or substantially in an Annex for instance. </w:t>
      </w:r>
    </w:p>
    <w:p w14:paraId="73757680" w14:textId="77777777" w:rsidR="008914B8" w:rsidRDefault="008914B8" w:rsidP="008914B8">
      <w:pPr>
        <w:pStyle w:val="Commentaire"/>
        <w:rPr>
          <w:rStyle w:val="Marquedecommentaire"/>
        </w:rPr>
      </w:pPr>
    </w:p>
    <w:p w14:paraId="7C500C19" w14:textId="1D762152" w:rsidR="008914B8" w:rsidRPr="007168DE" w:rsidRDefault="00C32E9B" w:rsidP="008914B8">
      <w:pPr>
        <w:pStyle w:val="Commentaire"/>
        <w:rPr>
          <w:sz w:val="6"/>
        </w:rPr>
      </w:pPr>
      <w:r>
        <w:rPr>
          <w:rStyle w:val="Marquedecommentaire"/>
        </w:rPr>
        <w:t>As a matter of</w:t>
      </w:r>
      <w:r w:rsidR="008914B8">
        <w:rPr>
          <w:rStyle w:val="Marquedecommentaire"/>
        </w:rPr>
        <w:t xml:space="preserve"> clarity, </w:t>
      </w:r>
      <w:r>
        <w:rPr>
          <w:rStyle w:val="Marquedecommentaire"/>
        </w:rPr>
        <w:t xml:space="preserve">we propose to mention the </w:t>
      </w:r>
      <w:r w:rsidR="008914B8">
        <w:rPr>
          <w:rStyle w:val="Marquedecommentaire"/>
        </w:rPr>
        <w:t xml:space="preserve">principles at the beginning of the regulation. </w:t>
      </w:r>
    </w:p>
  </w:comment>
  <w:comment w:id="1" w:author="Auteur" w:initials="A">
    <w:p w14:paraId="162AFB06" w14:textId="77777777" w:rsidR="008914B8" w:rsidRPr="008375B4" w:rsidRDefault="008914B8" w:rsidP="008914B8">
      <w:pPr>
        <w:pStyle w:val="Commentaire"/>
      </w:pPr>
      <w:r>
        <w:rPr>
          <w:rStyle w:val="Marquedecommentaire"/>
        </w:rPr>
        <w:annotationRef/>
      </w:r>
      <w:r>
        <w:t>UNESCO 2001 wording</w:t>
      </w:r>
      <w:r w:rsidRPr="008375B4">
        <w:t>, art. 2§8</w:t>
      </w:r>
    </w:p>
  </w:comment>
  <w:comment w:id="2" w:author="Auteur" w:initials="A">
    <w:p w14:paraId="09ECE342" w14:textId="717B25E6" w:rsidR="008914B8" w:rsidRPr="008E201F" w:rsidRDefault="008914B8" w:rsidP="008914B8">
      <w:pPr>
        <w:pStyle w:val="Commentaire"/>
      </w:pPr>
      <w:r>
        <w:rPr>
          <w:rStyle w:val="Marquedecommentaire"/>
        </w:rPr>
        <w:annotationRef/>
      </w:r>
      <w:r w:rsidR="00C54646">
        <w:rPr>
          <w:rStyle w:val="Marquedecommentaire"/>
        </w:rPr>
        <w:t>For clarity, p</w:t>
      </w:r>
      <w:r w:rsidRPr="008E201F">
        <w:rPr>
          <w:rStyle w:val="Marquedecommentaire"/>
        </w:rPr>
        <w:t>rinciples</w:t>
      </w:r>
      <w:r w:rsidR="00C54646">
        <w:rPr>
          <w:rStyle w:val="Marquedecommentaire"/>
        </w:rPr>
        <w:t xml:space="preserve"> could be placed</w:t>
      </w:r>
      <w:r w:rsidRPr="008E201F">
        <w:rPr>
          <w:rStyle w:val="Marquedecommentaire"/>
        </w:rPr>
        <w:t xml:space="preserve"> at the beginning of</w:t>
      </w:r>
      <w:r>
        <w:rPr>
          <w:rStyle w:val="Marquedecommentaire"/>
        </w:rPr>
        <w:t xml:space="preserve"> the Reg. </w:t>
      </w:r>
    </w:p>
  </w:comment>
  <w:comment w:id="3" w:author="Auteur" w:initials="A">
    <w:p w14:paraId="5FD718CA" w14:textId="77777777" w:rsidR="008914B8" w:rsidRPr="008E201F" w:rsidRDefault="008914B8" w:rsidP="008914B8">
      <w:pPr>
        <w:pStyle w:val="Commentaire"/>
      </w:pPr>
      <w:r>
        <w:rPr>
          <w:rStyle w:val="Marquedecommentaire"/>
        </w:rPr>
        <w:annotationRef/>
      </w:r>
      <w:r w:rsidRPr="008E201F">
        <w:t xml:space="preserve">This part is a consequence of the principle enunciated, as applied to the present process. </w:t>
      </w:r>
      <w:r w:rsidRPr="00D07984">
        <w:t xml:space="preserve">The wording comes from the proposal of the WG. </w:t>
      </w:r>
      <w:r w:rsidRPr="008E201F">
        <w:t>SP proposal could also be an alternative as long as decisions are also covered</w:t>
      </w:r>
      <w:r>
        <w:t xml:space="preserve"> to include State/ISA decisions in the procedure</w:t>
      </w:r>
      <w:r w:rsidRPr="008E201F">
        <w:t>:</w:t>
      </w:r>
    </w:p>
    <w:p w14:paraId="59DEF7F7" w14:textId="77777777" w:rsidR="008914B8" w:rsidRPr="00D07984" w:rsidRDefault="008914B8" w:rsidP="008914B8">
      <w:pPr>
        <w:pStyle w:val="Commentaire"/>
      </w:pPr>
      <w:r>
        <w:t>“</w:t>
      </w:r>
      <w:r w:rsidRPr="005B7F04">
        <w:rPr>
          <w:highlight w:val="cyan"/>
        </w:rPr>
        <w:t xml:space="preserve">No </w:t>
      </w:r>
      <w:r>
        <w:rPr>
          <w:highlight w:val="cyan"/>
        </w:rPr>
        <w:t>[</w:t>
      </w:r>
      <w:r w:rsidRPr="00C835A4">
        <w:rPr>
          <w:highlight w:val="yellow"/>
        </w:rPr>
        <w:t xml:space="preserve">decision </w:t>
      </w:r>
      <w:proofErr w:type="gramStart"/>
      <w:r w:rsidRPr="00C835A4">
        <w:rPr>
          <w:highlight w:val="yellow"/>
        </w:rPr>
        <w:t>nor]</w:t>
      </w:r>
      <w:r w:rsidRPr="005B7F04">
        <w:rPr>
          <w:highlight w:val="cyan"/>
        </w:rPr>
        <w:t>activity</w:t>
      </w:r>
      <w:proofErr w:type="gramEnd"/>
      <w:r w:rsidRPr="005B7F04">
        <w:rPr>
          <w:highlight w:val="cyan"/>
        </w:rPr>
        <w:t xml:space="preserve"> directed at, or incidentally affecting, sunken State vessels and aircraft shall be undertaken or authorised without the consent of the flag State. </w:t>
      </w:r>
      <w:r w:rsidRPr="00D07984">
        <w:t xml:space="preserve">“ </w:t>
      </w:r>
    </w:p>
  </w:comment>
  <w:comment w:id="4" w:author="Auteur" w:initials="A">
    <w:p w14:paraId="59DB9EDD" w14:textId="146D6616" w:rsidR="008914B8" w:rsidRPr="00BA43E0" w:rsidRDefault="008914B8" w:rsidP="008914B8">
      <w:pPr>
        <w:pStyle w:val="Commentaire"/>
      </w:pPr>
      <w:r>
        <w:rPr>
          <w:rStyle w:val="Marquedecommentaire"/>
        </w:rPr>
        <w:annotationRef/>
      </w:r>
      <w:r w:rsidRPr="00BA43E0">
        <w:t xml:space="preserve"> § 7 moved here</w:t>
      </w:r>
      <w:r w:rsidR="00C54646">
        <w:t xml:space="preserve"> (</w:t>
      </w:r>
      <w:r w:rsidRPr="00BA43E0">
        <w:t>principle</w:t>
      </w:r>
      <w:r w:rsidR="00C54646">
        <w:t>)</w:t>
      </w:r>
    </w:p>
  </w:comment>
  <w:comment w:id="5" w:author="Auteur" w:initials="A">
    <w:p w14:paraId="596A5FD9" w14:textId="391AF955" w:rsidR="008914B8" w:rsidRPr="00BA43E0" w:rsidRDefault="008914B8" w:rsidP="008914B8">
      <w:pPr>
        <w:pStyle w:val="Commentaire"/>
      </w:pPr>
      <w:r>
        <w:rPr>
          <w:rStyle w:val="Marquedecommentaire"/>
        </w:rPr>
        <w:annotationRef/>
      </w:r>
      <w:r w:rsidRPr="00BA43E0">
        <w:t xml:space="preserve">These rules could also be reproduced in </w:t>
      </w:r>
      <w:r w:rsidR="00C54646" w:rsidRPr="00BA43E0">
        <w:t>substance</w:t>
      </w:r>
      <w:r w:rsidRPr="00BA43E0">
        <w:t xml:space="preserve">. </w:t>
      </w:r>
      <w:r>
        <w:t>France is flexible.</w:t>
      </w:r>
      <w:r w:rsidRPr="00BA43E0">
        <w:t xml:space="preserve"> </w:t>
      </w:r>
    </w:p>
  </w:comment>
  <w:comment w:id="7" w:author="STADLER Anna" w:date="2025-11-13T15:32:00Z" w:initials="SA">
    <w:p w14:paraId="22471581" w14:textId="7AD10F26" w:rsidR="007C3D0C" w:rsidRPr="00BA7BCA" w:rsidRDefault="007C3D0C" w:rsidP="007C3D0C">
      <w:pPr>
        <w:pStyle w:val="Paragraphedeliste"/>
        <w:suppressAutoHyphens w:val="0"/>
        <w:spacing w:line="240" w:lineRule="auto"/>
        <w:ind w:left="2163"/>
        <w:jc w:val="both"/>
        <w:rPr>
          <w:rFonts w:eastAsia="Times New Roman"/>
          <w:sz w:val="24"/>
          <w:szCs w:val="24"/>
          <w:lang w:eastAsia="fr-FR"/>
        </w:rPr>
      </w:pPr>
      <w:r>
        <w:rPr>
          <w:rStyle w:val="Marquedecommentaire"/>
        </w:rPr>
        <w:annotationRef/>
      </w:r>
      <w:r>
        <w:t xml:space="preserve">This obligation should also be made for </w:t>
      </w:r>
      <w:r w:rsidRPr="00406A58">
        <w:rPr>
          <w:rFonts w:eastAsia="Times New Roman"/>
          <w:color w:val="000000"/>
          <w:lang w:eastAsia="fr-FR"/>
        </w:rPr>
        <w:t>the</w:t>
      </w:r>
      <w:r w:rsidRPr="007C3D0C">
        <w:rPr>
          <w:rFonts w:eastAsia="Times New Roman"/>
          <w:color w:val="000000"/>
          <w:lang w:eastAsia="fr-FR"/>
        </w:rPr>
        <w:t xml:space="preserve"> evaluation of the cultural management plan. </w:t>
      </w:r>
      <w:r w:rsidRPr="007C3D0C">
        <w:rPr>
          <w:rStyle w:val="Marquedecommentaire"/>
          <w:rFonts w:eastAsia="Calibri"/>
          <w:spacing w:val="4"/>
          <w:w w:val="103"/>
          <w:kern w:val="14"/>
        </w:rPr>
        <w:annotationRef/>
      </w:r>
    </w:p>
    <w:p w14:paraId="3DE58F0B" w14:textId="1C10B4BB" w:rsidR="007C3D0C" w:rsidRDefault="007C3D0C">
      <w:pPr>
        <w:pStyle w:val="Commentaire"/>
      </w:pPr>
    </w:p>
  </w:comment>
  <w:comment w:id="6" w:author="Auteur" w:initials="A">
    <w:p w14:paraId="60EBE052" w14:textId="77777777" w:rsidR="008914B8" w:rsidRPr="00702F0B" w:rsidRDefault="008914B8" w:rsidP="008914B8">
      <w:pPr>
        <w:pStyle w:val="Commentaire"/>
      </w:pPr>
      <w:r>
        <w:rPr>
          <w:rStyle w:val="Marquedecommentaire"/>
        </w:rPr>
        <w:annotationRef/>
      </w:r>
      <w:r w:rsidRPr="00702F0B">
        <w:t>Alternative proposal to the Committee</w:t>
      </w:r>
      <w:r>
        <w:t>, in order to formulate an obligation to use experts in the process</w:t>
      </w:r>
    </w:p>
  </w:comment>
  <w:comment w:id="8" w:author="Auteur" w:initials="A">
    <w:p w14:paraId="587D604F" w14:textId="77777777" w:rsidR="008914B8" w:rsidRPr="00D07984" w:rsidRDefault="008914B8" w:rsidP="008914B8">
      <w:pPr>
        <w:pStyle w:val="Commentaire"/>
      </w:pPr>
      <w:r>
        <w:rPr>
          <w:rStyle w:val="Marquedecommentaire"/>
        </w:rPr>
        <w:annotationRef/>
      </w:r>
      <w:r w:rsidRPr="00D07984">
        <w:t>Compatibility clause</w:t>
      </w:r>
    </w:p>
  </w:comment>
  <w:comment w:id="9" w:author="Auteur" w:initials="A">
    <w:p w14:paraId="5CE49B7A" w14:textId="77777777" w:rsidR="008914B8" w:rsidRDefault="008914B8" w:rsidP="008914B8">
      <w:pPr>
        <w:pStyle w:val="Commentaire"/>
      </w:pPr>
      <w:r>
        <w:rPr>
          <w:rStyle w:val="Marquedecommentaire"/>
        </w:rPr>
        <w:annotationRef/>
      </w:r>
      <w:r>
        <w:t>Procedure to protect the consent of the flag state of a wreck under sovereign immunity</w:t>
      </w:r>
    </w:p>
  </w:comment>
  <w:comment w:id="10" w:author="Auteur" w:initials="A">
    <w:p w14:paraId="492D7CEC" w14:textId="77777777" w:rsidR="008914B8" w:rsidRPr="00A56C3F" w:rsidRDefault="008914B8" w:rsidP="008914B8">
      <w:pPr>
        <w:pStyle w:val="Commentaire"/>
      </w:pPr>
      <w:r>
        <w:rPr>
          <w:rStyle w:val="Marquedecommentaire"/>
        </w:rPr>
        <w:annotationRef/>
      </w:r>
      <w:r w:rsidRPr="00A56C3F">
        <w:t xml:space="preserve"> flexible</w:t>
      </w:r>
    </w:p>
  </w:comment>
  <w:comment w:id="11" w:author="Auteur" w:initials="A">
    <w:p w14:paraId="711E4F42" w14:textId="77777777" w:rsidR="008914B8" w:rsidRDefault="008914B8" w:rsidP="008914B8">
      <w:pPr>
        <w:pStyle w:val="Commentaire"/>
      </w:pPr>
      <w:r>
        <w:rPr>
          <w:rStyle w:val="Marquedecommentaire"/>
        </w:rPr>
        <w:annotationRef/>
      </w:r>
      <w:r>
        <w:t>flexible</w:t>
      </w:r>
    </w:p>
  </w:comment>
  <w:comment w:id="12" w:author="Auteur" w:initials="A">
    <w:p w14:paraId="32D39BE7" w14:textId="77777777" w:rsidR="008914B8" w:rsidRDefault="008914B8" w:rsidP="008914B8">
      <w:pPr>
        <w:pStyle w:val="Commentaire"/>
      </w:pPr>
      <w:r>
        <w:rPr>
          <w:rStyle w:val="Marquedecommentaire"/>
        </w:rPr>
        <w:annotationRef/>
      </w:r>
      <w:r>
        <w:t>Preserves/protects isolated human remains, and takes into account the fact that no State can be identified for their protection: the procedure of declaration of interest is not necessary</w:t>
      </w:r>
    </w:p>
  </w:comment>
  <w:comment w:id="13" w:author="Auteur" w:initials="A">
    <w:p w14:paraId="7B10A962" w14:textId="77777777" w:rsidR="008914B8" w:rsidRPr="00D07984" w:rsidRDefault="008914B8" w:rsidP="008914B8">
      <w:pPr>
        <w:pStyle w:val="Commentaire"/>
      </w:pPr>
      <w:r>
        <w:rPr>
          <w:rStyle w:val="Marquedecommentaire"/>
        </w:rPr>
        <w:annotationRef/>
      </w:r>
      <w:r w:rsidRPr="00D07984">
        <w:t xml:space="preserve">Flexible </w:t>
      </w:r>
    </w:p>
  </w:comment>
  <w:comment w:id="14" w:author="Auteur" w:initials="A">
    <w:p w14:paraId="493F04D8" w14:textId="77777777" w:rsidR="008914B8" w:rsidRPr="00625191" w:rsidRDefault="008914B8" w:rsidP="008914B8">
      <w:pPr>
        <w:pStyle w:val="Commentaire"/>
      </w:pPr>
      <w:r>
        <w:rPr>
          <w:rStyle w:val="Marquedecommentaire"/>
        </w:rPr>
        <w:annotationRef/>
      </w:r>
      <w:r>
        <w:rPr>
          <w:rStyle w:val="Marquedecommentaire"/>
        </w:rPr>
        <w:t xml:space="preserve">If our proposal at §4 is kept, this can be deleted. </w:t>
      </w:r>
    </w:p>
  </w:comment>
  <w:comment w:id="15" w:author="Auteur" w:initials="A">
    <w:p w14:paraId="11A9B035" w14:textId="77777777" w:rsidR="008914B8" w:rsidRPr="00D07984" w:rsidRDefault="008914B8" w:rsidP="008914B8">
      <w:pPr>
        <w:pStyle w:val="Commentaire"/>
      </w:pPr>
      <w:r>
        <w:rPr>
          <w:rStyle w:val="Marquedecommentaire"/>
        </w:rPr>
        <w:annotationRef/>
      </w:r>
      <w:r>
        <w:t xml:space="preserve">Flexible. </w:t>
      </w:r>
      <w:r w:rsidRPr="00D07984">
        <w:t xml:space="preserve"> </w:t>
      </w:r>
    </w:p>
  </w:comment>
  <w:comment w:id="16" w:author="STADLER Anna" w:date="2025-11-12T17:21:00Z" w:initials="SA">
    <w:p w14:paraId="6A0BE8CA" w14:textId="62582474" w:rsidR="00717135" w:rsidRDefault="00717135">
      <w:pPr>
        <w:pStyle w:val="Commentaire"/>
      </w:pPr>
      <w:r>
        <w:rPr>
          <w:rStyle w:val="Marquedecommentaire"/>
        </w:rPr>
        <w:annotationRef/>
      </w:r>
      <w:r w:rsidR="00406A58">
        <w:t>(</w:t>
      </w:r>
      <w:r>
        <w:t>See new proposal by Spain</w:t>
      </w:r>
      <w:r w:rsidR="00406A58">
        <w:t>)</w:t>
      </w:r>
    </w:p>
  </w:comment>
  <w:comment w:id="17" w:author="Auteur" w:initials="A">
    <w:p w14:paraId="35D99DA6" w14:textId="77777777" w:rsidR="008914B8" w:rsidRDefault="008914B8" w:rsidP="008914B8">
      <w:pPr>
        <w:pStyle w:val="Commentaire"/>
      </w:pPr>
      <w:r>
        <w:rPr>
          <w:rStyle w:val="Marquedecommentaire"/>
        </w:rPr>
        <w:annotationRef/>
      </w:r>
      <w:r>
        <w:t>Support</w:t>
      </w:r>
    </w:p>
  </w:comment>
  <w:comment w:id="18" w:author="Auteur" w:initials="A">
    <w:p w14:paraId="7881AC36" w14:textId="5CED6B06" w:rsidR="008914B8" w:rsidRDefault="008914B8" w:rsidP="008914B8">
      <w:pPr>
        <w:pStyle w:val="Commentaire"/>
      </w:pPr>
      <w:r>
        <w:rPr>
          <w:rStyle w:val="Marquedecommentaire"/>
        </w:rPr>
        <w:annotationRef/>
      </w:r>
      <w:r w:rsidR="007C3D0C">
        <w:t>see</w:t>
      </w:r>
      <w:r>
        <w:t xml:space="preserve"> §2</w:t>
      </w:r>
    </w:p>
  </w:comment>
  <w:comment w:id="19" w:author="Auteur" w:initials="A">
    <w:p w14:paraId="21B89BB0" w14:textId="2A6B1097" w:rsidR="008914B8" w:rsidRDefault="008914B8" w:rsidP="008914B8">
      <w:pPr>
        <w:pStyle w:val="Commentaire"/>
      </w:pPr>
      <w:r>
        <w:rPr>
          <w:rStyle w:val="Marquedecommentaire"/>
        </w:rPr>
        <w:annotationRef/>
      </w:r>
      <w:r w:rsidR="007C3D0C">
        <w:t>see</w:t>
      </w:r>
      <w:r>
        <w:t xml:space="preserve"> §2</w:t>
      </w:r>
    </w:p>
  </w:comment>
  <w:comment w:id="20" w:author="Auteur" w:initials="A">
    <w:p w14:paraId="18D1F43E" w14:textId="77777777" w:rsidR="008914B8" w:rsidRDefault="008914B8" w:rsidP="008914B8">
      <w:pPr>
        <w:pStyle w:val="Commentaire"/>
      </w:pPr>
      <w:r>
        <w:rPr>
          <w:rStyle w:val="Marquedecommentaire"/>
        </w:rPr>
        <w:annotationRef/>
      </w:r>
      <w:r>
        <w:t xml:space="preserve">France supports this deletion but without another solution, it threatens an effective protection. This is why we propose the intervention of a designated archaeological surveyor. </w:t>
      </w:r>
    </w:p>
    <w:p w14:paraId="42398362" w14:textId="51AD5C08" w:rsidR="00194900" w:rsidRDefault="00194900" w:rsidP="008914B8">
      <w:pPr>
        <w:pStyle w:val="Commentaire"/>
      </w:pPr>
      <w:r>
        <w:t xml:space="preserve">This surveyor is not necessarily onboard but should be transmitted relevant information during the exploitation to ensure that chance discovery </w:t>
      </w:r>
      <w:r w:rsidR="006802F6">
        <w:t>can</w:t>
      </w:r>
      <w:r>
        <w:t xml:space="preserve"> effectively be detected.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00C19" w15:done="0"/>
  <w15:commentEx w15:paraId="162AFB06" w15:done="0"/>
  <w15:commentEx w15:paraId="09ECE342" w15:done="0"/>
  <w15:commentEx w15:paraId="59DEF7F7" w15:done="0"/>
  <w15:commentEx w15:paraId="59DB9EDD" w15:done="0"/>
  <w15:commentEx w15:paraId="596A5FD9" w15:done="0"/>
  <w15:commentEx w15:paraId="3DE58F0B" w15:done="0"/>
  <w15:commentEx w15:paraId="60EBE052" w15:done="0"/>
  <w15:commentEx w15:paraId="587D604F" w15:done="0"/>
  <w15:commentEx w15:paraId="5CE49B7A" w15:done="0"/>
  <w15:commentEx w15:paraId="492D7CEC" w15:done="0"/>
  <w15:commentEx w15:paraId="711E4F42" w15:done="0"/>
  <w15:commentEx w15:paraId="32D39BE7" w15:done="0"/>
  <w15:commentEx w15:paraId="7B10A962" w15:done="0"/>
  <w15:commentEx w15:paraId="493F04D8" w15:done="0"/>
  <w15:commentEx w15:paraId="11A9B035" w15:done="0"/>
  <w15:commentEx w15:paraId="6A0BE8CA" w15:paraIdParent="11A9B035" w15:done="0"/>
  <w15:commentEx w15:paraId="35D99DA6" w15:done="0"/>
  <w15:commentEx w15:paraId="7881AC36" w15:done="0"/>
  <w15:commentEx w15:paraId="21B89BB0" w15:done="0"/>
  <w15:commentEx w15:paraId="423983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7872" w16cex:dateUtc="2025-11-13T14:32:00Z"/>
  <w16cex:commentExtensible w16cex:durableId="2CBF409C" w16cex:dateUtc="2025-11-12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00C19" w16cid:durableId="2C24B066"/>
  <w16cid:commentId w16cid:paraId="162AFB06" w16cid:durableId="2C239EDC"/>
  <w16cid:commentId w16cid:paraId="09ECE342" w16cid:durableId="2C239ECA"/>
  <w16cid:commentId w16cid:paraId="59DEF7F7" w16cid:durableId="2C239F20"/>
  <w16cid:commentId w16cid:paraId="59DB9EDD" w16cid:durableId="2C23A163"/>
  <w16cid:commentId w16cid:paraId="596A5FD9" w16cid:durableId="2C239E4D"/>
  <w16cid:commentId w16cid:paraId="3DE58F0B" w16cid:durableId="2CC07872"/>
  <w16cid:commentId w16cid:paraId="60EBE052" w16cid:durableId="2C24B547"/>
  <w16cid:commentId w16cid:paraId="587D604F" w16cid:durableId="2C24B02D"/>
  <w16cid:commentId w16cid:paraId="5CE49B7A" w16cid:durableId="2C9B8F5E"/>
  <w16cid:commentId w16cid:paraId="492D7CEC" w16cid:durableId="2C24B2D5"/>
  <w16cid:commentId w16cid:paraId="711E4F42" w16cid:durableId="2C24B309"/>
  <w16cid:commentId w16cid:paraId="32D39BE7" w16cid:durableId="2C23A1C1"/>
  <w16cid:commentId w16cid:paraId="7B10A962" w16cid:durableId="2C24B366"/>
  <w16cid:commentId w16cid:paraId="493F04D8" w16cid:durableId="2C24B38C"/>
  <w16cid:commentId w16cid:paraId="11A9B035" w16cid:durableId="2C24B69A"/>
  <w16cid:commentId w16cid:paraId="6A0BE8CA" w16cid:durableId="2CBF409C"/>
  <w16cid:commentId w16cid:paraId="35D99DA6" w16cid:durableId="2C23A3CF"/>
  <w16cid:commentId w16cid:paraId="7881AC36" w16cid:durableId="2C239FE8"/>
  <w16cid:commentId w16cid:paraId="21B89BB0" w16cid:durableId="2C239FF7"/>
  <w16cid:commentId w16cid:paraId="42398362" w16cid:durableId="2C239F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654C"/>
    <w:multiLevelType w:val="hybridMultilevel"/>
    <w:tmpl w:val="7B9CA096"/>
    <w:lvl w:ilvl="0" w:tplc="33A6D554">
      <w:start w:val="1"/>
      <w:numFmt w:val="decimal"/>
      <w:lvlText w:val="%1."/>
      <w:lvlJc w:val="left"/>
      <w:pPr>
        <w:ind w:left="2163" w:hanging="360"/>
      </w:pPr>
      <w:rPr>
        <w:rFonts w:hint="default"/>
      </w:rPr>
    </w:lvl>
    <w:lvl w:ilvl="1" w:tplc="040C0019" w:tentative="1">
      <w:start w:val="1"/>
      <w:numFmt w:val="lowerLetter"/>
      <w:lvlText w:val="%2."/>
      <w:lvlJc w:val="left"/>
      <w:pPr>
        <w:ind w:left="2883" w:hanging="360"/>
      </w:pPr>
    </w:lvl>
    <w:lvl w:ilvl="2" w:tplc="040C001B" w:tentative="1">
      <w:start w:val="1"/>
      <w:numFmt w:val="lowerRoman"/>
      <w:lvlText w:val="%3."/>
      <w:lvlJc w:val="right"/>
      <w:pPr>
        <w:ind w:left="3603" w:hanging="180"/>
      </w:pPr>
    </w:lvl>
    <w:lvl w:ilvl="3" w:tplc="040C000F" w:tentative="1">
      <w:start w:val="1"/>
      <w:numFmt w:val="decimal"/>
      <w:lvlText w:val="%4."/>
      <w:lvlJc w:val="left"/>
      <w:pPr>
        <w:ind w:left="4323" w:hanging="360"/>
      </w:pPr>
    </w:lvl>
    <w:lvl w:ilvl="4" w:tplc="040C0019" w:tentative="1">
      <w:start w:val="1"/>
      <w:numFmt w:val="lowerLetter"/>
      <w:lvlText w:val="%5."/>
      <w:lvlJc w:val="left"/>
      <w:pPr>
        <w:ind w:left="5043" w:hanging="360"/>
      </w:pPr>
    </w:lvl>
    <w:lvl w:ilvl="5" w:tplc="040C001B" w:tentative="1">
      <w:start w:val="1"/>
      <w:numFmt w:val="lowerRoman"/>
      <w:lvlText w:val="%6."/>
      <w:lvlJc w:val="right"/>
      <w:pPr>
        <w:ind w:left="5763" w:hanging="180"/>
      </w:pPr>
    </w:lvl>
    <w:lvl w:ilvl="6" w:tplc="040C000F" w:tentative="1">
      <w:start w:val="1"/>
      <w:numFmt w:val="decimal"/>
      <w:lvlText w:val="%7."/>
      <w:lvlJc w:val="left"/>
      <w:pPr>
        <w:ind w:left="6483" w:hanging="360"/>
      </w:pPr>
    </w:lvl>
    <w:lvl w:ilvl="7" w:tplc="040C0019" w:tentative="1">
      <w:start w:val="1"/>
      <w:numFmt w:val="lowerLetter"/>
      <w:lvlText w:val="%8."/>
      <w:lvlJc w:val="left"/>
      <w:pPr>
        <w:ind w:left="7203" w:hanging="360"/>
      </w:pPr>
    </w:lvl>
    <w:lvl w:ilvl="8" w:tplc="040C001B" w:tentative="1">
      <w:start w:val="1"/>
      <w:numFmt w:val="lowerRoman"/>
      <w:lvlText w:val="%9."/>
      <w:lvlJc w:val="right"/>
      <w:pPr>
        <w:ind w:left="7923" w:hanging="180"/>
      </w:pPr>
    </w:lvl>
  </w:abstractNum>
  <w:abstractNum w:abstractNumId="1" w15:restartNumberingAfterBreak="0">
    <w:nsid w:val="46B835EE"/>
    <w:multiLevelType w:val="hybridMultilevel"/>
    <w:tmpl w:val="672438B4"/>
    <w:lvl w:ilvl="0" w:tplc="8EB6848C">
      <w:start w:val="1"/>
      <w:numFmt w:val="decimal"/>
      <w:lvlText w:val="%1."/>
      <w:lvlJc w:val="left"/>
      <w:pPr>
        <w:ind w:left="1443" w:hanging="360"/>
      </w:pPr>
      <w:rPr>
        <w:rFonts w:hint="default"/>
      </w:rPr>
    </w:lvl>
    <w:lvl w:ilvl="1" w:tplc="040C0019" w:tentative="1">
      <w:start w:val="1"/>
      <w:numFmt w:val="lowerLetter"/>
      <w:lvlText w:val="%2."/>
      <w:lvlJc w:val="left"/>
      <w:pPr>
        <w:ind w:left="2163" w:hanging="360"/>
      </w:pPr>
    </w:lvl>
    <w:lvl w:ilvl="2" w:tplc="040C001B" w:tentative="1">
      <w:start w:val="1"/>
      <w:numFmt w:val="lowerRoman"/>
      <w:lvlText w:val="%3."/>
      <w:lvlJc w:val="right"/>
      <w:pPr>
        <w:ind w:left="2883" w:hanging="180"/>
      </w:pPr>
    </w:lvl>
    <w:lvl w:ilvl="3" w:tplc="040C000F" w:tentative="1">
      <w:start w:val="1"/>
      <w:numFmt w:val="decimal"/>
      <w:lvlText w:val="%4."/>
      <w:lvlJc w:val="left"/>
      <w:pPr>
        <w:ind w:left="3603" w:hanging="360"/>
      </w:pPr>
    </w:lvl>
    <w:lvl w:ilvl="4" w:tplc="040C0019" w:tentative="1">
      <w:start w:val="1"/>
      <w:numFmt w:val="lowerLetter"/>
      <w:lvlText w:val="%5."/>
      <w:lvlJc w:val="left"/>
      <w:pPr>
        <w:ind w:left="4323" w:hanging="360"/>
      </w:pPr>
    </w:lvl>
    <w:lvl w:ilvl="5" w:tplc="040C001B" w:tentative="1">
      <w:start w:val="1"/>
      <w:numFmt w:val="lowerRoman"/>
      <w:lvlText w:val="%6."/>
      <w:lvlJc w:val="right"/>
      <w:pPr>
        <w:ind w:left="5043" w:hanging="180"/>
      </w:pPr>
    </w:lvl>
    <w:lvl w:ilvl="6" w:tplc="040C000F" w:tentative="1">
      <w:start w:val="1"/>
      <w:numFmt w:val="decimal"/>
      <w:lvlText w:val="%7."/>
      <w:lvlJc w:val="left"/>
      <w:pPr>
        <w:ind w:left="5763" w:hanging="360"/>
      </w:pPr>
    </w:lvl>
    <w:lvl w:ilvl="7" w:tplc="040C0019" w:tentative="1">
      <w:start w:val="1"/>
      <w:numFmt w:val="lowerLetter"/>
      <w:lvlText w:val="%8."/>
      <w:lvlJc w:val="left"/>
      <w:pPr>
        <w:ind w:left="6483" w:hanging="360"/>
      </w:pPr>
    </w:lvl>
    <w:lvl w:ilvl="8" w:tplc="040C001B" w:tentative="1">
      <w:start w:val="1"/>
      <w:numFmt w:val="lowerRoman"/>
      <w:lvlText w:val="%9."/>
      <w:lvlJc w:val="right"/>
      <w:pPr>
        <w:ind w:left="7203" w:hanging="180"/>
      </w:pPr>
    </w:lvl>
  </w:abstractNum>
  <w:abstractNum w:abstractNumId="2" w15:restartNumberingAfterBreak="0">
    <w:nsid w:val="5F576077"/>
    <w:multiLevelType w:val="hybridMultilevel"/>
    <w:tmpl w:val="38EADE9C"/>
    <w:lvl w:ilvl="0" w:tplc="DC80CCBE">
      <w:start w:val="1"/>
      <w:numFmt w:val="decimal"/>
      <w:lvlText w:val="%1."/>
      <w:lvlJc w:val="left"/>
      <w:pPr>
        <w:ind w:left="1803" w:hanging="360"/>
      </w:pPr>
      <w:rPr>
        <w:rFonts w:hint="default"/>
        <w:color w:val="000000"/>
      </w:rPr>
    </w:lvl>
    <w:lvl w:ilvl="1" w:tplc="040C0019" w:tentative="1">
      <w:start w:val="1"/>
      <w:numFmt w:val="lowerLetter"/>
      <w:lvlText w:val="%2."/>
      <w:lvlJc w:val="left"/>
      <w:pPr>
        <w:ind w:left="2523" w:hanging="360"/>
      </w:pPr>
    </w:lvl>
    <w:lvl w:ilvl="2" w:tplc="040C001B" w:tentative="1">
      <w:start w:val="1"/>
      <w:numFmt w:val="lowerRoman"/>
      <w:lvlText w:val="%3."/>
      <w:lvlJc w:val="right"/>
      <w:pPr>
        <w:ind w:left="3243" w:hanging="180"/>
      </w:pPr>
    </w:lvl>
    <w:lvl w:ilvl="3" w:tplc="040C000F" w:tentative="1">
      <w:start w:val="1"/>
      <w:numFmt w:val="decimal"/>
      <w:lvlText w:val="%4."/>
      <w:lvlJc w:val="left"/>
      <w:pPr>
        <w:ind w:left="3963" w:hanging="360"/>
      </w:pPr>
    </w:lvl>
    <w:lvl w:ilvl="4" w:tplc="040C0019" w:tentative="1">
      <w:start w:val="1"/>
      <w:numFmt w:val="lowerLetter"/>
      <w:lvlText w:val="%5."/>
      <w:lvlJc w:val="left"/>
      <w:pPr>
        <w:ind w:left="4683" w:hanging="360"/>
      </w:pPr>
    </w:lvl>
    <w:lvl w:ilvl="5" w:tplc="040C001B" w:tentative="1">
      <w:start w:val="1"/>
      <w:numFmt w:val="lowerRoman"/>
      <w:lvlText w:val="%6."/>
      <w:lvlJc w:val="right"/>
      <w:pPr>
        <w:ind w:left="5403" w:hanging="180"/>
      </w:pPr>
    </w:lvl>
    <w:lvl w:ilvl="6" w:tplc="040C000F" w:tentative="1">
      <w:start w:val="1"/>
      <w:numFmt w:val="decimal"/>
      <w:lvlText w:val="%7."/>
      <w:lvlJc w:val="left"/>
      <w:pPr>
        <w:ind w:left="6123" w:hanging="360"/>
      </w:pPr>
    </w:lvl>
    <w:lvl w:ilvl="7" w:tplc="040C0019" w:tentative="1">
      <w:start w:val="1"/>
      <w:numFmt w:val="lowerLetter"/>
      <w:lvlText w:val="%8."/>
      <w:lvlJc w:val="left"/>
      <w:pPr>
        <w:ind w:left="6843" w:hanging="360"/>
      </w:pPr>
    </w:lvl>
    <w:lvl w:ilvl="8" w:tplc="040C001B" w:tentative="1">
      <w:start w:val="1"/>
      <w:numFmt w:val="lowerRoman"/>
      <w:lvlText w:val="%9."/>
      <w:lvlJc w:val="right"/>
      <w:pPr>
        <w:ind w:left="7563" w:hanging="180"/>
      </w:pPr>
    </w:lvl>
  </w:abstractNum>
  <w:abstractNum w:abstractNumId="3" w15:restartNumberingAfterBreak="0">
    <w:nsid w:val="618C7D64"/>
    <w:multiLevelType w:val="hybridMultilevel"/>
    <w:tmpl w:val="17487698"/>
    <w:lvl w:ilvl="0" w:tplc="EFF2B2E2">
      <w:start w:val="1"/>
      <w:numFmt w:val="decimal"/>
      <w:lvlText w:val="%1."/>
      <w:lvlJc w:val="left"/>
      <w:pPr>
        <w:ind w:left="720" w:hanging="360"/>
      </w:pPr>
      <w:rPr>
        <w:rFonts w:hint="default"/>
        <w:color w:val="0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4AD7D54"/>
    <w:multiLevelType w:val="hybridMultilevel"/>
    <w:tmpl w:val="F8B6FAA2"/>
    <w:lvl w:ilvl="0" w:tplc="865AA0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09223E"/>
    <w:multiLevelType w:val="hybridMultilevel"/>
    <w:tmpl w:val="98F460FA"/>
    <w:lvl w:ilvl="0" w:tplc="DEA64B08">
      <w:start w:val="1"/>
      <w:numFmt w:val="bullet"/>
      <w:lvlText w:val="-"/>
      <w:lvlJc w:val="left"/>
      <w:pPr>
        <w:tabs>
          <w:tab w:val="num" w:pos="720"/>
        </w:tabs>
        <w:ind w:left="720" w:hanging="360"/>
      </w:pPr>
      <w:rPr>
        <w:rFonts w:ascii="Times New Roman" w:hAnsi="Times New Roman" w:hint="default"/>
      </w:rPr>
    </w:lvl>
    <w:lvl w:ilvl="1" w:tplc="FFA4D5DE" w:tentative="1">
      <w:start w:val="1"/>
      <w:numFmt w:val="bullet"/>
      <w:lvlText w:val="-"/>
      <w:lvlJc w:val="left"/>
      <w:pPr>
        <w:tabs>
          <w:tab w:val="num" w:pos="1440"/>
        </w:tabs>
        <w:ind w:left="1440" w:hanging="360"/>
      </w:pPr>
      <w:rPr>
        <w:rFonts w:ascii="Times New Roman" w:hAnsi="Times New Roman" w:hint="default"/>
      </w:rPr>
    </w:lvl>
    <w:lvl w:ilvl="2" w:tplc="628CEA0A" w:tentative="1">
      <w:start w:val="1"/>
      <w:numFmt w:val="bullet"/>
      <w:lvlText w:val="-"/>
      <w:lvlJc w:val="left"/>
      <w:pPr>
        <w:tabs>
          <w:tab w:val="num" w:pos="2160"/>
        </w:tabs>
        <w:ind w:left="2160" w:hanging="360"/>
      </w:pPr>
      <w:rPr>
        <w:rFonts w:ascii="Times New Roman" w:hAnsi="Times New Roman" w:hint="default"/>
      </w:rPr>
    </w:lvl>
    <w:lvl w:ilvl="3" w:tplc="0B6A4EEC" w:tentative="1">
      <w:start w:val="1"/>
      <w:numFmt w:val="bullet"/>
      <w:lvlText w:val="-"/>
      <w:lvlJc w:val="left"/>
      <w:pPr>
        <w:tabs>
          <w:tab w:val="num" w:pos="2880"/>
        </w:tabs>
        <w:ind w:left="2880" w:hanging="360"/>
      </w:pPr>
      <w:rPr>
        <w:rFonts w:ascii="Times New Roman" w:hAnsi="Times New Roman" w:hint="default"/>
      </w:rPr>
    </w:lvl>
    <w:lvl w:ilvl="4" w:tplc="2BAE152C" w:tentative="1">
      <w:start w:val="1"/>
      <w:numFmt w:val="bullet"/>
      <w:lvlText w:val="-"/>
      <w:lvlJc w:val="left"/>
      <w:pPr>
        <w:tabs>
          <w:tab w:val="num" w:pos="3600"/>
        </w:tabs>
        <w:ind w:left="3600" w:hanging="360"/>
      </w:pPr>
      <w:rPr>
        <w:rFonts w:ascii="Times New Roman" w:hAnsi="Times New Roman" w:hint="default"/>
      </w:rPr>
    </w:lvl>
    <w:lvl w:ilvl="5" w:tplc="BEE03918" w:tentative="1">
      <w:start w:val="1"/>
      <w:numFmt w:val="bullet"/>
      <w:lvlText w:val="-"/>
      <w:lvlJc w:val="left"/>
      <w:pPr>
        <w:tabs>
          <w:tab w:val="num" w:pos="4320"/>
        </w:tabs>
        <w:ind w:left="4320" w:hanging="360"/>
      </w:pPr>
      <w:rPr>
        <w:rFonts w:ascii="Times New Roman" w:hAnsi="Times New Roman" w:hint="default"/>
      </w:rPr>
    </w:lvl>
    <w:lvl w:ilvl="6" w:tplc="A86496D8" w:tentative="1">
      <w:start w:val="1"/>
      <w:numFmt w:val="bullet"/>
      <w:lvlText w:val="-"/>
      <w:lvlJc w:val="left"/>
      <w:pPr>
        <w:tabs>
          <w:tab w:val="num" w:pos="5040"/>
        </w:tabs>
        <w:ind w:left="5040" w:hanging="360"/>
      </w:pPr>
      <w:rPr>
        <w:rFonts w:ascii="Times New Roman" w:hAnsi="Times New Roman" w:hint="default"/>
      </w:rPr>
    </w:lvl>
    <w:lvl w:ilvl="7" w:tplc="4E0236F8" w:tentative="1">
      <w:start w:val="1"/>
      <w:numFmt w:val="bullet"/>
      <w:lvlText w:val="-"/>
      <w:lvlJc w:val="left"/>
      <w:pPr>
        <w:tabs>
          <w:tab w:val="num" w:pos="5760"/>
        </w:tabs>
        <w:ind w:left="5760" w:hanging="360"/>
      </w:pPr>
      <w:rPr>
        <w:rFonts w:ascii="Times New Roman" w:hAnsi="Times New Roman" w:hint="default"/>
      </w:rPr>
    </w:lvl>
    <w:lvl w:ilvl="8" w:tplc="2460FA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DLER Anna">
    <w15:presenceInfo w15:providerId="AD" w15:userId="S-1-5-21-1370178198-801778805-402442831-656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B8"/>
    <w:rsid w:val="000B4372"/>
    <w:rsid w:val="000D3E9A"/>
    <w:rsid w:val="00140B6B"/>
    <w:rsid w:val="00194900"/>
    <w:rsid w:val="00196F8C"/>
    <w:rsid w:val="00210FB5"/>
    <w:rsid w:val="00240175"/>
    <w:rsid w:val="002D3661"/>
    <w:rsid w:val="003067EC"/>
    <w:rsid w:val="00406A58"/>
    <w:rsid w:val="004519E1"/>
    <w:rsid w:val="00463078"/>
    <w:rsid w:val="004730A5"/>
    <w:rsid w:val="005A147B"/>
    <w:rsid w:val="005D6C4B"/>
    <w:rsid w:val="006802F6"/>
    <w:rsid w:val="00717135"/>
    <w:rsid w:val="007547BF"/>
    <w:rsid w:val="00754FF5"/>
    <w:rsid w:val="007C3D0C"/>
    <w:rsid w:val="00814811"/>
    <w:rsid w:val="00821D07"/>
    <w:rsid w:val="00860FEA"/>
    <w:rsid w:val="008914B8"/>
    <w:rsid w:val="009A10DF"/>
    <w:rsid w:val="009B3FB1"/>
    <w:rsid w:val="009C73CB"/>
    <w:rsid w:val="00A4553B"/>
    <w:rsid w:val="00AA0638"/>
    <w:rsid w:val="00B97E60"/>
    <w:rsid w:val="00BD55D9"/>
    <w:rsid w:val="00BF0D78"/>
    <w:rsid w:val="00C32E9B"/>
    <w:rsid w:val="00C54646"/>
    <w:rsid w:val="00C64415"/>
    <w:rsid w:val="00C761AB"/>
    <w:rsid w:val="00C900CF"/>
    <w:rsid w:val="00CB5EEE"/>
    <w:rsid w:val="00D00A21"/>
    <w:rsid w:val="00E3148B"/>
    <w:rsid w:val="00E52CBB"/>
    <w:rsid w:val="00EA0073"/>
    <w:rsid w:val="00EA0DBD"/>
    <w:rsid w:val="00EE0E69"/>
    <w:rsid w:val="00FD6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D846"/>
  <w15:chartTrackingRefBased/>
  <w15:docId w15:val="{32A83BBD-D70E-44A5-B611-7D131A0F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B8"/>
    <w:pPr>
      <w:suppressAutoHyphens/>
      <w:spacing w:after="0" w:line="240" w:lineRule="exact"/>
    </w:pPr>
    <w:rPr>
      <w:rFonts w:ascii="Times New Roman" w:eastAsia="Calibri" w:hAnsi="Times New Roman" w:cs="Times New Roman"/>
      <w:spacing w:val="4"/>
      <w:w w:val="103"/>
      <w:kern w:val="14"/>
      <w:sz w:val="20"/>
      <w:szCs w:val="20"/>
      <w:lang w:val="en-T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rsid w:val="008914B8"/>
    <w:rPr>
      <w:sz w:val="6"/>
    </w:rPr>
  </w:style>
  <w:style w:type="paragraph" w:styleId="Commentaire">
    <w:name w:val="annotation text"/>
    <w:basedOn w:val="Normal"/>
    <w:link w:val="CommentaireCar"/>
    <w:uiPriority w:val="99"/>
    <w:unhideWhenUsed/>
    <w:rsid w:val="008914B8"/>
    <w:rPr>
      <w:lang w:val="en-GB"/>
    </w:rPr>
  </w:style>
  <w:style w:type="character" w:customStyle="1" w:styleId="CommentaireCar">
    <w:name w:val="Commentaire Car"/>
    <w:basedOn w:val="Policepardfaut"/>
    <w:link w:val="Commentaire"/>
    <w:uiPriority w:val="99"/>
    <w:rsid w:val="008914B8"/>
    <w:rPr>
      <w:rFonts w:ascii="Times New Roman" w:eastAsia="Calibri" w:hAnsi="Times New Roman" w:cs="Times New Roman"/>
      <w:spacing w:val="4"/>
      <w:w w:val="103"/>
      <w:kern w:val="14"/>
      <w:sz w:val="20"/>
      <w:szCs w:val="20"/>
      <w:lang w:val="en-GB"/>
    </w:rPr>
  </w:style>
  <w:style w:type="paragraph" w:styleId="Paragraphedeliste">
    <w:name w:val="List Paragraph"/>
    <w:aliases w:val="List Paragraph1,Recommendation,List Paragraph11"/>
    <w:basedOn w:val="Normal"/>
    <w:link w:val="ParagraphedelisteCar"/>
    <w:uiPriority w:val="34"/>
    <w:qFormat/>
    <w:rsid w:val="008914B8"/>
    <w:pPr>
      <w:ind w:left="720"/>
      <w:contextualSpacing/>
    </w:pPr>
    <w:rPr>
      <w:rFonts w:eastAsia="Yu Mincho"/>
      <w:spacing w:val="0"/>
      <w:w w:val="100"/>
      <w:kern w:val="0"/>
      <w:lang w:val="en-GB"/>
    </w:rPr>
  </w:style>
  <w:style w:type="character" w:customStyle="1" w:styleId="ParagraphedelisteCar">
    <w:name w:val="Paragraphe de liste Car"/>
    <w:aliases w:val="List Paragraph1 Car,Recommendation Car,List Paragraph11 Car"/>
    <w:link w:val="Paragraphedeliste"/>
    <w:uiPriority w:val="34"/>
    <w:rsid w:val="008914B8"/>
    <w:rPr>
      <w:rFonts w:ascii="Times New Roman" w:eastAsia="Yu Mincho"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E52CBB"/>
    <w:pPr>
      <w:spacing w:line="240" w:lineRule="auto"/>
    </w:pPr>
    <w:rPr>
      <w:b/>
      <w:bCs/>
      <w:lang w:val="en-TT"/>
    </w:rPr>
  </w:style>
  <w:style w:type="character" w:customStyle="1" w:styleId="ObjetducommentaireCar">
    <w:name w:val="Objet du commentaire Car"/>
    <w:basedOn w:val="CommentaireCar"/>
    <w:link w:val="Objetducommentaire"/>
    <w:uiPriority w:val="99"/>
    <w:semiHidden/>
    <w:rsid w:val="00E52CBB"/>
    <w:rPr>
      <w:rFonts w:ascii="Times New Roman" w:eastAsia="Calibri" w:hAnsi="Times New Roman" w:cs="Times New Roman"/>
      <w:b/>
      <w:bCs/>
      <w:spacing w:val="4"/>
      <w:w w:val="103"/>
      <w:kern w:val="14"/>
      <w:sz w:val="20"/>
      <w:szCs w:val="20"/>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2</Pages>
  <Words>1129</Words>
  <Characters>6211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Anna</dc:creator>
  <cp:keywords/>
  <dc:description/>
  <cp:lastModifiedBy>STADLER Anna</cp:lastModifiedBy>
  <cp:revision>34</cp:revision>
  <dcterms:created xsi:type="dcterms:W3CDTF">2025-11-12T09:53:00Z</dcterms:created>
  <dcterms:modified xsi:type="dcterms:W3CDTF">2025-11-14T14:43:00Z</dcterms:modified>
</cp:coreProperties>
</file>