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8455" w14:textId="77777777" w:rsidR="00BA2C68" w:rsidRDefault="00861F41">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2A559057" w14:textId="77777777" w:rsidR="00BA2C68" w:rsidRDefault="00861F41">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2F8F1CD1" w14:textId="77777777" w:rsidR="00BA2C68" w:rsidRDefault="00BA2C68">
      <w:pPr>
        <w:pStyle w:val="Listenabsatz"/>
        <w:ind w:left="644"/>
        <w:rPr>
          <w:b/>
          <w:bCs/>
          <w:sz w:val="34"/>
          <w:szCs w:val="34"/>
        </w:rPr>
      </w:pPr>
    </w:p>
    <w:p w14:paraId="20515525" w14:textId="77777777" w:rsidR="00BA2C68" w:rsidRDefault="00861F41">
      <w:pPr>
        <w:pStyle w:val="Listenabsatz"/>
        <w:numPr>
          <w:ilvl w:val="0"/>
          <w:numId w:val="1"/>
        </w:numPr>
        <w:rPr>
          <w:b/>
          <w:bCs/>
          <w:sz w:val="24"/>
          <w:szCs w:val="24"/>
        </w:rPr>
      </w:pPr>
      <w:r>
        <w:rPr>
          <w:b/>
          <w:bCs/>
          <w:sz w:val="24"/>
          <w:szCs w:val="24"/>
        </w:rPr>
        <w:t xml:space="preserve">Name(s) of Delegation(s) making the proposal: </w:t>
      </w:r>
    </w:p>
    <w:p w14:paraId="6B3C3066" w14:textId="77777777" w:rsidR="00BA2C68" w:rsidRDefault="00861F41">
      <w:pPr>
        <w:ind w:left="644"/>
        <w:rPr>
          <w:sz w:val="24"/>
          <w:szCs w:val="24"/>
        </w:rPr>
      </w:pPr>
      <w:r>
        <w:rPr>
          <w:sz w:val="24"/>
          <w:szCs w:val="24"/>
        </w:rPr>
        <w:t>Germany</w:t>
      </w:r>
    </w:p>
    <w:p w14:paraId="7F19AF96" w14:textId="77777777" w:rsidR="00BA2C68" w:rsidRDefault="00861F41">
      <w:pPr>
        <w:pStyle w:val="Listenabsatz"/>
        <w:numPr>
          <w:ilvl w:val="0"/>
          <w:numId w:val="1"/>
        </w:numPr>
        <w:rPr>
          <w:b/>
          <w:bCs/>
          <w:sz w:val="24"/>
          <w:szCs w:val="24"/>
        </w:rPr>
      </w:pPr>
      <w:r>
        <w:rPr>
          <w:b/>
          <w:bCs/>
          <w:sz w:val="24"/>
          <w:szCs w:val="24"/>
        </w:rPr>
        <w:t xml:space="preserve">Please indicate the relevant provision to which the textual proposal refers. </w:t>
      </w:r>
    </w:p>
    <w:p w14:paraId="17721B7C" w14:textId="26C2FA0D" w:rsidR="00BA2C68" w:rsidRDefault="00861F41">
      <w:pPr>
        <w:ind w:left="644"/>
        <w:rPr>
          <w:sz w:val="24"/>
          <w:szCs w:val="24"/>
        </w:rPr>
      </w:pPr>
      <w:r>
        <w:rPr>
          <w:sz w:val="24"/>
          <w:szCs w:val="24"/>
        </w:rPr>
        <w:t>Draft regulation 102</w:t>
      </w:r>
    </w:p>
    <w:p w14:paraId="20FF96D9" w14:textId="0642F6A3" w:rsidR="00861F41" w:rsidRDefault="00861F41" w:rsidP="00861F41">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0F951F9E" w14:textId="77777777" w:rsidR="00BA2C68" w:rsidRDefault="00861F41">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56E91DD" w14:textId="7E626D5A" w:rsidR="00BA2C68" w:rsidRDefault="00A922F1">
      <w:pPr>
        <w:pStyle w:val="berschrift1"/>
        <w:ind w:left="1083"/>
        <w:rPr>
          <w:rFonts w:ascii="Times New Roman" w:eastAsia="Calibri" w:hAnsi="Times New Roman"/>
          <w:color w:val="000000" w:themeColor="text1"/>
          <w:sz w:val="24"/>
          <w:szCs w:val="24"/>
          <w:lang w:val="en-US"/>
        </w:rPr>
      </w:pPr>
      <w:r>
        <w:rPr>
          <w:rFonts w:ascii="Times New Roman" w:eastAsia="Calibri" w:hAnsi="Times New Roman"/>
          <w:color w:val="000000" w:themeColor="text1"/>
          <w:sz w:val="24"/>
          <w:szCs w:val="24"/>
          <w:lang w:val="en-US"/>
        </w:rPr>
        <w:t>Regulation 102</w:t>
      </w:r>
    </w:p>
    <w:p w14:paraId="1802EC3E" w14:textId="55CCCF67" w:rsidR="00A922F1" w:rsidRDefault="00A922F1" w:rsidP="00A922F1">
      <w:pPr>
        <w:rPr>
          <w:lang w:eastAsia="en-US"/>
        </w:rPr>
      </w:pPr>
      <w:r>
        <w:rPr>
          <w:lang w:eastAsia="en-US"/>
        </w:rPr>
        <w:tab/>
      </w:r>
      <w:r>
        <w:rPr>
          <w:lang w:eastAsia="en-US"/>
        </w:rPr>
        <w:tab/>
      </w:r>
      <w:r w:rsidRPr="00A922F1">
        <w:rPr>
          <w:highlight w:val="green"/>
          <w:lang w:eastAsia="en-US"/>
        </w:rPr>
        <w:t xml:space="preserve">Retain all text currently in DR 102 </w:t>
      </w:r>
    </w:p>
    <w:p w14:paraId="4DC6A315" w14:textId="099E84F4" w:rsidR="00A922F1" w:rsidRPr="00A922F1" w:rsidRDefault="00A922F1" w:rsidP="00A922F1">
      <w:pPr>
        <w:rPr>
          <w:lang w:eastAsia="en-US"/>
        </w:rPr>
      </w:pPr>
      <w:r>
        <w:rPr>
          <w:lang w:eastAsia="en-US"/>
        </w:rPr>
        <w:tab/>
      </w:r>
    </w:p>
    <w:p w14:paraId="6DDEA473" w14:textId="77777777" w:rsidR="00BA2C68" w:rsidRDefault="00861F41">
      <w:pPr>
        <w:pStyle w:val="berschrift1"/>
        <w:ind w:left="1083"/>
        <w:rPr>
          <w:rFonts w:ascii="Times New Roman" w:eastAsia="Calibri" w:hAnsi="Times New Roman"/>
          <w:b w:val="0"/>
          <w:i/>
          <w:color w:val="000000" w:themeColor="text1"/>
          <w:sz w:val="16"/>
          <w:szCs w:val="16"/>
        </w:rPr>
      </w:pPr>
      <w:r>
        <w:rPr>
          <w:rFonts w:ascii="Times New Roman" w:eastAsia="Calibri" w:hAnsi="Times New Roman"/>
          <w:color w:val="000000" w:themeColor="text1"/>
          <w:sz w:val="24"/>
          <w:szCs w:val="24"/>
        </w:rPr>
        <w:t>[Regulation 102 Alt.</w:t>
      </w:r>
      <w:r>
        <w:rPr>
          <w:rFonts w:ascii="Times New Roman" w:eastAsia="Calibri" w:hAnsi="Times New Roman"/>
          <w:b w:val="0"/>
          <w:i/>
          <w:color w:val="000000" w:themeColor="text1"/>
          <w:sz w:val="16"/>
          <w:szCs w:val="16"/>
        </w:rPr>
        <w:t xml:space="preserve"> </w:t>
      </w:r>
    </w:p>
    <w:p w14:paraId="1E9571F3" w14:textId="2D3D827A" w:rsidR="00BA2C68" w:rsidRDefault="00A922F1" w:rsidP="00A922F1">
      <w:pPr>
        <w:rPr>
          <w:color w:val="000000" w:themeColor="text1"/>
          <w:lang w:val="en-GB"/>
        </w:rPr>
      </w:pPr>
      <w:r>
        <w:rPr>
          <w:lang w:val="en-GB" w:eastAsia="en-US"/>
        </w:rPr>
        <w:tab/>
      </w:r>
      <w:r>
        <w:rPr>
          <w:lang w:val="en-GB" w:eastAsia="en-US"/>
        </w:rPr>
        <w:tab/>
      </w:r>
      <w:r w:rsidRPr="00A922F1">
        <w:rPr>
          <w:highlight w:val="green"/>
          <w:lang w:val="en-GB" w:eastAsia="en-US"/>
        </w:rPr>
        <w:t xml:space="preserve">Delete Regulation 102 Alt. </w:t>
      </w:r>
    </w:p>
    <w:p w14:paraId="664129B4" w14:textId="77777777" w:rsidR="00BA2C68" w:rsidRDefault="00BA2C68">
      <w:pPr>
        <w:spacing w:after="120" w:line="240" w:lineRule="exact"/>
        <w:ind w:left="644" w:right="1270"/>
        <w:jc w:val="both"/>
        <w:rPr>
          <w:rFonts w:eastAsia="Calibri"/>
          <w:color w:val="000000"/>
        </w:rPr>
      </w:pPr>
    </w:p>
    <w:p w14:paraId="6CE9C198" w14:textId="77777777" w:rsidR="00BA2C68" w:rsidRDefault="00861F41">
      <w:pPr>
        <w:pStyle w:val="Listenabsatz"/>
        <w:numPr>
          <w:ilvl w:val="0"/>
          <w:numId w:val="1"/>
        </w:numPr>
        <w:rPr>
          <w:b/>
          <w:bCs/>
          <w:sz w:val="24"/>
          <w:szCs w:val="24"/>
        </w:rPr>
      </w:pPr>
      <w:r>
        <w:rPr>
          <w:b/>
          <w:bCs/>
          <w:sz w:val="24"/>
          <w:szCs w:val="24"/>
        </w:rPr>
        <w:t xml:space="preserve">Please indicate the rationale for the proposal. </w:t>
      </w:r>
      <w:r w:rsidRPr="00A922F1">
        <w:rPr>
          <w:b/>
          <w:bCs/>
          <w:sz w:val="24"/>
          <w:szCs w:val="24"/>
        </w:rPr>
        <w:t>[150-word limit]</w:t>
      </w:r>
    </w:p>
    <w:p w14:paraId="7E0EC37A" w14:textId="105D01A0" w:rsidR="001E214B" w:rsidRDefault="001E214B">
      <w:pPr>
        <w:ind w:left="644"/>
        <w:rPr>
          <w:sz w:val="24"/>
          <w:szCs w:val="24"/>
        </w:rPr>
      </w:pPr>
      <w:r>
        <w:rPr>
          <w:sz w:val="24"/>
          <w:szCs w:val="24"/>
        </w:rPr>
        <w:t xml:space="preserve">This textual </w:t>
      </w:r>
      <w:r w:rsidR="005D7A37">
        <w:rPr>
          <w:sz w:val="24"/>
          <w:szCs w:val="24"/>
        </w:rPr>
        <w:t>submission is made without prejudice to the continuing work of the intersessional working group on inspection, compliance and enforcement.</w:t>
      </w:r>
    </w:p>
    <w:p w14:paraId="214EA937" w14:textId="0832690E" w:rsidR="00CC3F01" w:rsidRDefault="00861F41" w:rsidP="00CC3F01">
      <w:pPr>
        <w:ind w:left="644"/>
        <w:rPr>
          <w:sz w:val="24"/>
          <w:szCs w:val="24"/>
        </w:rPr>
      </w:pPr>
      <w:r>
        <w:rPr>
          <w:sz w:val="24"/>
          <w:szCs w:val="24"/>
        </w:rPr>
        <w:t xml:space="preserve">We maintain our </w:t>
      </w:r>
      <w:r w:rsidR="00A922F1">
        <w:rPr>
          <w:sz w:val="24"/>
          <w:szCs w:val="24"/>
        </w:rPr>
        <w:t>support</w:t>
      </w:r>
      <w:r>
        <w:rPr>
          <w:sz w:val="24"/>
          <w:szCs w:val="24"/>
        </w:rPr>
        <w:t xml:space="preserve"> for DR102 as currently found in the revised consolidated text. </w:t>
      </w:r>
      <w:r w:rsidR="001E214B">
        <w:rPr>
          <w:sz w:val="24"/>
          <w:szCs w:val="24"/>
        </w:rPr>
        <w:t>We support retaining the text</w:t>
      </w:r>
      <w:r w:rsidR="005D7A37">
        <w:rPr>
          <w:sz w:val="24"/>
          <w:szCs w:val="24"/>
        </w:rPr>
        <w:t xml:space="preserve"> in its entirety for negotiating purposes</w:t>
      </w:r>
      <w:r w:rsidR="00CC3F01">
        <w:rPr>
          <w:sz w:val="24"/>
          <w:szCs w:val="24"/>
        </w:rPr>
        <w:t xml:space="preserve">. Notably </w:t>
      </w:r>
      <w:r w:rsidR="00CC3F01" w:rsidRPr="00913277">
        <w:rPr>
          <w:b/>
          <w:bCs/>
          <w:sz w:val="24"/>
          <w:szCs w:val="24"/>
        </w:rPr>
        <w:t>paragraphs 2 and 2bis</w:t>
      </w:r>
      <w:r w:rsidR="00CC3F01" w:rsidRPr="00A922F1">
        <w:rPr>
          <w:sz w:val="24"/>
          <w:szCs w:val="24"/>
        </w:rPr>
        <w:t xml:space="preserve"> in the existing DR102 should be re</w:t>
      </w:r>
      <w:r w:rsidR="00CC3F01">
        <w:rPr>
          <w:sz w:val="24"/>
          <w:szCs w:val="24"/>
        </w:rPr>
        <w:t>tain</w:t>
      </w:r>
      <w:r w:rsidR="00CC3F01" w:rsidRPr="00A922F1">
        <w:rPr>
          <w:sz w:val="24"/>
          <w:szCs w:val="24"/>
        </w:rPr>
        <w:t>ed, as they spell out the tasks and powers of the Compliance Committee. We believe that there should not be any decision taken on the establishment of a new subsidiary body without the Council clearly defining its tasks. This is particularly important in order to clearly delineate its tasks from the ones of the Legal and Technical Commission.</w:t>
      </w:r>
    </w:p>
    <w:p w14:paraId="61BE5F99" w14:textId="77777777" w:rsidR="00CC3F01" w:rsidRDefault="00CC3F01" w:rsidP="00CC3F01">
      <w:pPr>
        <w:ind w:left="644"/>
        <w:rPr>
          <w:sz w:val="24"/>
          <w:szCs w:val="24"/>
        </w:rPr>
      </w:pPr>
      <w:r>
        <w:rPr>
          <w:sz w:val="24"/>
          <w:szCs w:val="24"/>
        </w:rPr>
        <w:t xml:space="preserve">We are also of the view that </w:t>
      </w:r>
      <w:r w:rsidRPr="00913277">
        <w:rPr>
          <w:b/>
          <w:bCs/>
          <w:sz w:val="24"/>
          <w:szCs w:val="24"/>
        </w:rPr>
        <w:t>paras 6-10</w:t>
      </w:r>
      <w:r>
        <w:rPr>
          <w:sz w:val="24"/>
          <w:szCs w:val="24"/>
        </w:rPr>
        <w:t xml:space="preserve"> in the existing DR102 should also remain, as this explains the procedure and next steps that would apply in the event that the Compliance Committee has taken any measures under this section.</w:t>
      </w:r>
    </w:p>
    <w:p w14:paraId="735250BD" w14:textId="2614221C" w:rsidR="001E214B" w:rsidRDefault="00CC3F01" w:rsidP="00913277">
      <w:pPr>
        <w:ind w:left="644"/>
        <w:rPr>
          <w:sz w:val="24"/>
          <w:szCs w:val="24"/>
        </w:rPr>
      </w:pPr>
      <w:r>
        <w:rPr>
          <w:sz w:val="24"/>
          <w:szCs w:val="24"/>
        </w:rPr>
        <w:t xml:space="preserve">We remain open to the idea of moving some items in the text as long as they will feature in the anticipated rules of procedures of the Compliance Committee. We think it would be fine for the regulations to provide certain matters, like the possibility of ad </w:t>
      </w:r>
      <w:r>
        <w:rPr>
          <w:sz w:val="24"/>
          <w:szCs w:val="24"/>
        </w:rPr>
        <w:lastRenderedPageBreak/>
        <w:t>hoc convenings and virtual meetings, and allow the forthcoming rules of procedure to further elaborate on them.</w:t>
      </w:r>
    </w:p>
    <w:p w14:paraId="6BF306E1" w14:textId="6D6D5274" w:rsidR="00BA2C68" w:rsidRDefault="00861F41" w:rsidP="00913277">
      <w:pPr>
        <w:ind w:left="644"/>
        <w:rPr>
          <w:sz w:val="24"/>
          <w:szCs w:val="24"/>
        </w:rPr>
      </w:pPr>
      <w:r w:rsidRPr="00A922F1">
        <w:rPr>
          <w:sz w:val="24"/>
          <w:szCs w:val="24"/>
        </w:rPr>
        <w:t>With respect to the new text proposal submitted by the intersessional working group</w:t>
      </w:r>
      <w:r w:rsidR="00A922F1">
        <w:rPr>
          <w:sz w:val="24"/>
          <w:szCs w:val="24"/>
        </w:rPr>
        <w:t xml:space="preserve"> in July 2025</w:t>
      </w:r>
      <w:r w:rsidRPr="00A922F1">
        <w:rPr>
          <w:sz w:val="24"/>
          <w:szCs w:val="24"/>
        </w:rPr>
        <w:t xml:space="preserve">, Germany believes that there are some useful provisions in the new text proposal that should be kept. It is our </w:t>
      </w:r>
      <w:proofErr w:type="spellStart"/>
      <w:r w:rsidRPr="00A922F1">
        <w:rPr>
          <w:sz w:val="24"/>
          <w:szCs w:val="24"/>
        </w:rPr>
        <w:t>viewthat</w:t>
      </w:r>
      <w:proofErr w:type="spellEnd"/>
      <w:r w:rsidRPr="00A922F1">
        <w:rPr>
          <w:sz w:val="24"/>
          <w:szCs w:val="24"/>
        </w:rPr>
        <w:t xml:space="preserve"> these provisions should be merged and harmonized with the existing DR102. </w:t>
      </w:r>
    </w:p>
    <w:p w14:paraId="655BD322" w14:textId="167737DA" w:rsidR="00BA2C68" w:rsidRDefault="00CC3F01">
      <w:pPr>
        <w:ind w:left="644"/>
        <w:rPr>
          <w:sz w:val="24"/>
          <w:szCs w:val="24"/>
        </w:rPr>
      </w:pPr>
      <w:r>
        <w:rPr>
          <w:sz w:val="24"/>
          <w:szCs w:val="24"/>
        </w:rPr>
        <w:t>With regard to the</w:t>
      </w:r>
      <w:r w:rsidR="00861F41">
        <w:rPr>
          <w:sz w:val="24"/>
          <w:szCs w:val="24"/>
        </w:rPr>
        <w:t xml:space="preserve"> idea of a “Compliance Strategy”, as proposed in paragraph 4 of the new text proposal from the working group, however, we remain to be convinced of its added value at this stage. We believe the regulation text and the rules of procedure of the Compliance Committee can and should be sufficient to define its scope, functions and procedures to get it going. It is also unclear to us what form or status a Compliance Strategy would take. </w:t>
      </w:r>
    </w:p>
    <w:p w14:paraId="6884318A" w14:textId="0C7B053F" w:rsidR="00BA2C68" w:rsidRDefault="00861F41">
      <w:pPr>
        <w:ind w:left="644"/>
        <w:rPr>
          <w:sz w:val="24"/>
          <w:szCs w:val="24"/>
        </w:rPr>
      </w:pPr>
      <w:r>
        <w:rPr>
          <w:sz w:val="24"/>
          <w:szCs w:val="24"/>
        </w:rPr>
        <w:t xml:space="preserve">Likewise, we struggle with the proposal in </w:t>
      </w:r>
      <w:r w:rsidRPr="00913277">
        <w:rPr>
          <w:b/>
          <w:bCs/>
          <w:sz w:val="24"/>
          <w:szCs w:val="24"/>
        </w:rPr>
        <w:t>para 8</w:t>
      </w:r>
      <w:r>
        <w:rPr>
          <w:sz w:val="24"/>
          <w:szCs w:val="24"/>
        </w:rPr>
        <w:t xml:space="preserve"> of the new text proposal from the working group, directing the Compliance Committee and Legal and Technical Commission to consult with each other and develop a joint recommendation, because we believe the Council should be the one delineating the functions of the Compliance Committee vis-a-vis the Legal and Technical Commission. That is why we propose retaining the earlier mentioned text as found in the existing DR102, since this clearly delineates the role of the Compliance Committee and was carefully drafted bearing in mind the role of the Legal and Technical Commission as prescribed under UNCLOS.</w:t>
      </w:r>
      <w:r w:rsidR="00A922F1">
        <w:rPr>
          <w:sz w:val="24"/>
          <w:szCs w:val="24"/>
        </w:rPr>
        <w:t xml:space="preserve"> We are however open to revisiting some of the sub-provisions in Para 2 with the view to eliminate any potential overlap.</w:t>
      </w:r>
    </w:p>
    <w:p w14:paraId="28CBD5D6" w14:textId="77777777" w:rsidR="00BA2C68" w:rsidRDefault="00861F41">
      <w:pPr>
        <w:ind w:left="644"/>
        <w:rPr>
          <w:sz w:val="24"/>
          <w:szCs w:val="24"/>
        </w:rPr>
      </w:pPr>
      <w:r>
        <w:rPr>
          <w:sz w:val="24"/>
          <w:szCs w:val="24"/>
        </w:rPr>
        <w:t>Lastly, we remain open to discuss whether or not to limit the remit of the Compliance Committee to exploitation activities, as proposed in the new text from the working group. Even though exploitation will certainly the main cause and remit of the new Committee, we would see clear benefits in establishing an overarching Compliance body, that exercises its functions over all activities in the Area and support the Council in exercising control over these activities.</w:t>
      </w:r>
    </w:p>
    <w:p w14:paraId="2ED7379A" w14:textId="3654C624" w:rsidR="00BA2C68" w:rsidRDefault="00861F41">
      <w:pPr>
        <w:ind w:left="644"/>
        <w:rPr>
          <w:sz w:val="24"/>
          <w:szCs w:val="24"/>
        </w:rPr>
      </w:pPr>
      <w:r>
        <w:rPr>
          <w:sz w:val="24"/>
          <w:szCs w:val="24"/>
        </w:rPr>
        <w:t>We look forward to continuing discussions on how the existing DR102 can be merged with the new text proposal from the working group, and we are optimistic that we can find a way forward.</w:t>
      </w:r>
      <w:r w:rsidR="00A922F1">
        <w:rPr>
          <w:sz w:val="24"/>
          <w:szCs w:val="24"/>
        </w:rPr>
        <w:t xml:space="preserve"> Germany will continue to participate in the work of the intersessional working group, and we trust that some text can be advanced there.</w:t>
      </w:r>
    </w:p>
    <w:sectPr w:rsidR="00BA2C68">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5925" w14:textId="77777777" w:rsidR="008E0814" w:rsidRDefault="008E0814">
      <w:pPr>
        <w:spacing w:after="0" w:line="240" w:lineRule="auto"/>
      </w:pPr>
      <w:r>
        <w:separator/>
      </w:r>
    </w:p>
  </w:endnote>
  <w:endnote w:type="continuationSeparator" w:id="0">
    <w:p w14:paraId="279112EE" w14:textId="77777777" w:rsidR="008E0814" w:rsidRDefault="008E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1DA5" w14:textId="77777777" w:rsidR="008E0814" w:rsidRDefault="008E0814">
      <w:pPr>
        <w:spacing w:after="0" w:line="240" w:lineRule="auto"/>
      </w:pPr>
      <w:r>
        <w:separator/>
      </w:r>
    </w:p>
  </w:footnote>
  <w:footnote w:type="continuationSeparator" w:id="0">
    <w:p w14:paraId="69EABF44" w14:textId="77777777" w:rsidR="008E0814" w:rsidRDefault="008E0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B5184"/>
    <w:multiLevelType w:val="multilevel"/>
    <w:tmpl w:val="E4008E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FB25D3"/>
    <w:multiLevelType w:val="multilevel"/>
    <w:tmpl w:val="95A8BA80"/>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C68"/>
    <w:rsid w:val="001E214B"/>
    <w:rsid w:val="003967A3"/>
    <w:rsid w:val="005D7A37"/>
    <w:rsid w:val="006F16F5"/>
    <w:rsid w:val="00861F41"/>
    <w:rsid w:val="008E0814"/>
    <w:rsid w:val="00913277"/>
    <w:rsid w:val="00A922F1"/>
    <w:rsid w:val="00B030DA"/>
    <w:rsid w:val="00B62BD8"/>
    <w:rsid w:val="00BA2C68"/>
    <w:rsid w:val="00CC3F01"/>
    <w:rsid w:val="00FE5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E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spacing w:before="240" w:after="60" w:line="240" w:lineRule="exact"/>
      <w:outlineLvl w:val="0"/>
    </w:pPr>
    <w:rPr>
      <w:rFonts w:ascii="Arial" w:eastAsia="Times New Roman" w:hAnsi="Arial" w:cs="Times New Roman"/>
      <w:b/>
      <w:bCs/>
      <w:spacing w:val="4"/>
      <w:sz w:val="32"/>
      <w:szCs w:val="32"/>
      <w:lang w:val="en-GB" w:eastAsia="en-US"/>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character" w:customStyle="1" w:styleId="berschrift1Zchn">
    <w:name w:val="Überschrift 1 Zchn"/>
    <w:basedOn w:val="Absatz-Standardschriftart"/>
    <w:link w:val="berschrift1"/>
    <w:uiPriority w:val="9"/>
    <w:rPr>
      <w:rFonts w:ascii="Arial" w:eastAsia="Times New Roman" w:hAnsi="Arial" w:cs="Times New Roman"/>
      <w:b/>
      <w:bCs/>
      <w:spacing w:val="4"/>
      <w:sz w:val="32"/>
      <w:szCs w:val="32"/>
      <w:lang w:val="en-GB"/>
    </w:rPr>
  </w:style>
  <w:style w:type="paragraph" w:styleId="berarbeitung">
    <w:name w:val="Revision"/>
    <w:hidden/>
    <w:uiPriority w:val="99"/>
    <w:semiHidden/>
    <w:rsid w:val="00CC3F01"/>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57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bdf41a50-727b-470f-8d02-a7ece8766a57}" enabled="0" method="" siteId="{bdf41a50-727b-470f-8d02-a7ece8766a5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4009</Characters>
  <Application>Microsoft Office Word</Application>
  <DocSecurity>0</DocSecurity>
  <Lines>33</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2025-09-30T14:14:00Z</dcterms:created>
  <dcterms:modified xsi:type="dcterms:W3CDTF">2025-09-30T14:14:00Z</dcterms:modified>
</cp:coreProperties>
</file>