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A8EA8" w14:textId="0EF31061" w:rsidR="0070227C" w:rsidRDefault="0070227C" w:rsidP="00957805">
      <w:pPr>
        <w:spacing w:after="0"/>
        <w:ind w:left="-567"/>
        <w:rPr>
          <w:b/>
          <w:bCs/>
          <w:u w:val="single"/>
        </w:rPr>
      </w:pPr>
      <w:r>
        <w:rPr>
          <w:b/>
          <w:bCs/>
          <w:u w:val="single"/>
        </w:rPr>
        <w:t xml:space="preserve">Compilation of Inputs Received </w:t>
      </w:r>
      <w:r w:rsidR="002B040D">
        <w:rPr>
          <w:b/>
          <w:bCs/>
          <w:u w:val="single"/>
        </w:rPr>
        <w:t xml:space="preserve">on Rev.1 Proposal </w:t>
      </w:r>
      <w:r>
        <w:rPr>
          <w:b/>
          <w:bCs/>
          <w:u w:val="single"/>
        </w:rPr>
        <w:t>+ FOP’s Response</w:t>
      </w:r>
    </w:p>
    <w:p w14:paraId="647FD001" w14:textId="77777777" w:rsidR="006A3A08" w:rsidRDefault="006A3A08" w:rsidP="00957805">
      <w:pPr>
        <w:spacing w:after="0"/>
        <w:ind w:left="-567"/>
        <w:rPr>
          <w:b/>
          <w:bCs/>
          <w:u w:val="single"/>
        </w:rPr>
      </w:pPr>
    </w:p>
    <w:p w14:paraId="57410CCE" w14:textId="673D1393" w:rsidR="006A3A08" w:rsidRPr="006A3A08" w:rsidRDefault="006A3A08" w:rsidP="00957805">
      <w:pPr>
        <w:spacing w:after="0"/>
        <w:ind w:left="-567"/>
        <w:rPr>
          <w:i/>
          <w:iCs/>
        </w:rPr>
      </w:pPr>
      <w:r w:rsidRPr="006A3A08">
        <w:rPr>
          <w:i/>
          <w:iCs/>
          <w:highlight w:val="cyan"/>
        </w:rPr>
        <w:t>*We would like to draw your attention to the rows in blue where we explain the substantive changes in the Rev. 2 proposal.</w:t>
      </w:r>
    </w:p>
    <w:p w14:paraId="27E2D671" w14:textId="77777777" w:rsidR="00957805" w:rsidRDefault="00957805" w:rsidP="007B5FB7">
      <w:pPr>
        <w:spacing w:after="0"/>
      </w:pPr>
    </w:p>
    <w:tbl>
      <w:tblPr>
        <w:tblStyle w:val="TableGrid"/>
        <w:tblW w:w="15026" w:type="dxa"/>
        <w:tblInd w:w="-572" w:type="dxa"/>
        <w:tblLook w:val="04A0" w:firstRow="1" w:lastRow="0" w:firstColumn="1" w:lastColumn="0" w:noHBand="0" w:noVBand="1"/>
      </w:tblPr>
      <w:tblGrid>
        <w:gridCol w:w="2268"/>
        <w:gridCol w:w="6521"/>
        <w:gridCol w:w="6237"/>
      </w:tblGrid>
      <w:tr w:rsidR="00B74650" w14:paraId="0100ABC4" w14:textId="77777777" w:rsidTr="00CA5288">
        <w:tc>
          <w:tcPr>
            <w:tcW w:w="2268" w:type="dxa"/>
            <w:shd w:val="clear" w:color="auto" w:fill="E8E8E8" w:themeFill="background2"/>
          </w:tcPr>
          <w:p w14:paraId="0A44B1B2" w14:textId="00AFDD5E" w:rsidR="00B74650" w:rsidRPr="00B74650" w:rsidRDefault="00E07FDE">
            <w:pPr>
              <w:rPr>
                <w:b/>
                <w:bCs/>
              </w:rPr>
            </w:pPr>
            <w:r>
              <w:rPr>
                <w:b/>
                <w:bCs/>
              </w:rPr>
              <w:t>Para/</w:t>
            </w:r>
            <w:r w:rsidR="0005262B">
              <w:rPr>
                <w:b/>
                <w:bCs/>
              </w:rPr>
              <w:t>Issue</w:t>
            </w:r>
          </w:p>
        </w:tc>
        <w:tc>
          <w:tcPr>
            <w:tcW w:w="6521" w:type="dxa"/>
            <w:shd w:val="clear" w:color="auto" w:fill="E8E8E8" w:themeFill="background2"/>
          </w:tcPr>
          <w:p w14:paraId="1C138589" w14:textId="77777777" w:rsidR="00B74650" w:rsidRDefault="00B74650">
            <w:pPr>
              <w:rPr>
                <w:b/>
                <w:bCs/>
              </w:rPr>
            </w:pPr>
            <w:r w:rsidRPr="00B74650">
              <w:rPr>
                <w:b/>
                <w:bCs/>
              </w:rPr>
              <w:t>Input</w:t>
            </w:r>
          </w:p>
          <w:p w14:paraId="0861A68D" w14:textId="662D3F3C" w:rsidR="001C7719" w:rsidRPr="00B74650" w:rsidRDefault="001C7719">
            <w:pPr>
              <w:rPr>
                <w:b/>
                <w:bCs/>
              </w:rPr>
            </w:pPr>
          </w:p>
        </w:tc>
        <w:tc>
          <w:tcPr>
            <w:tcW w:w="6237" w:type="dxa"/>
            <w:shd w:val="clear" w:color="auto" w:fill="E8E8E8" w:themeFill="background2"/>
          </w:tcPr>
          <w:p w14:paraId="253F1B22" w14:textId="64241BF2" w:rsidR="00B74650" w:rsidRPr="00B74650" w:rsidRDefault="000714CE">
            <w:pPr>
              <w:rPr>
                <w:b/>
                <w:bCs/>
              </w:rPr>
            </w:pPr>
            <w:r>
              <w:rPr>
                <w:b/>
                <w:bCs/>
              </w:rPr>
              <w:t>FOP</w:t>
            </w:r>
            <w:r w:rsidR="001C7719">
              <w:rPr>
                <w:b/>
                <w:bCs/>
              </w:rPr>
              <w:t>’s</w:t>
            </w:r>
            <w:r w:rsidR="00B74650" w:rsidRPr="00B74650">
              <w:rPr>
                <w:b/>
                <w:bCs/>
              </w:rPr>
              <w:t xml:space="preserve"> </w:t>
            </w:r>
            <w:r w:rsidR="001C7719">
              <w:rPr>
                <w:b/>
                <w:bCs/>
              </w:rPr>
              <w:t>R</w:t>
            </w:r>
            <w:r w:rsidR="00B74650" w:rsidRPr="00B74650">
              <w:rPr>
                <w:b/>
                <w:bCs/>
              </w:rPr>
              <w:t>esponse</w:t>
            </w:r>
          </w:p>
        </w:tc>
      </w:tr>
      <w:tr w:rsidR="00B74650" w14:paraId="1622B932" w14:textId="77777777" w:rsidTr="00CA5288">
        <w:tc>
          <w:tcPr>
            <w:tcW w:w="15026" w:type="dxa"/>
            <w:gridSpan w:val="3"/>
            <w:shd w:val="clear" w:color="auto" w:fill="D1D1D1" w:themeFill="background2" w:themeFillShade="E6"/>
          </w:tcPr>
          <w:p w14:paraId="0A91CAEE" w14:textId="500BFD0A" w:rsidR="001C7719" w:rsidRPr="000A1760" w:rsidRDefault="00B74650">
            <w:pPr>
              <w:rPr>
                <w:b/>
                <w:bCs/>
                <w:i/>
                <w:iCs/>
              </w:rPr>
            </w:pPr>
            <w:r w:rsidRPr="000A1760">
              <w:rPr>
                <w:b/>
                <w:bCs/>
                <w:i/>
                <w:iCs/>
              </w:rPr>
              <w:t>DR 31</w:t>
            </w:r>
          </w:p>
        </w:tc>
      </w:tr>
      <w:tr w:rsidR="001C7719" w14:paraId="0F378C50" w14:textId="77777777" w:rsidTr="00CA5288">
        <w:tc>
          <w:tcPr>
            <w:tcW w:w="2268" w:type="dxa"/>
          </w:tcPr>
          <w:p w14:paraId="76A6136B" w14:textId="77777777" w:rsidR="001C7719" w:rsidRDefault="001C7719">
            <w:r>
              <w:t>Para 1</w:t>
            </w:r>
            <w:r w:rsidR="001A2965">
              <w:t>:</w:t>
            </w:r>
          </w:p>
          <w:p w14:paraId="3064C76C" w14:textId="3FA77A29" w:rsidR="001A2965" w:rsidRDefault="001A2965">
            <w:r>
              <w:t>Proposed deletions</w:t>
            </w:r>
          </w:p>
        </w:tc>
        <w:tc>
          <w:tcPr>
            <w:tcW w:w="6521" w:type="dxa"/>
          </w:tcPr>
          <w:p w14:paraId="29C006D0" w14:textId="42287B14" w:rsidR="001C7719" w:rsidRDefault="00E07FDE" w:rsidP="00E07FDE">
            <w:r>
              <w:t>A delegation expressed support for the</w:t>
            </w:r>
            <w:r w:rsidR="001C7719">
              <w:t xml:space="preserve"> proposed deletions in para 1 which reflect the obligations in </w:t>
            </w:r>
            <w:r>
              <w:t xml:space="preserve">UNCLOS </w:t>
            </w:r>
            <w:r w:rsidR="001C7719">
              <w:t>Art 147.</w:t>
            </w:r>
          </w:p>
          <w:p w14:paraId="25435726" w14:textId="4DB306E6" w:rsidR="001C7719" w:rsidRDefault="001C7719" w:rsidP="001C7719">
            <w:pPr>
              <w:pStyle w:val="ListParagraph"/>
              <w:ind w:left="360"/>
            </w:pPr>
          </w:p>
        </w:tc>
        <w:tc>
          <w:tcPr>
            <w:tcW w:w="6237" w:type="dxa"/>
          </w:tcPr>
          <w:p w14:paraId="23730946" w14:textId="78A353D1" w:rsidR="001C7719" w:rsidRPr="001C7719" w:rsidRDefault="000714CE" w:rsidP="001C7719">
            <w:pPr>
              <w:tabs>
                <w:tab w:val="num" w:pos="720"/>
              </w:tabs>
            </w:pPr>
            <w:r>
              <w:t>-</w:t>
            </w:r>
          </w:p>
        </w:tc>
      </w:tr>
      <w:tr w:rsidR="00B74650" w14:paraId="30555F52" w14:textId="77777777" w:rsidTr="006A3A08">
        <w:tc>
          <w:tcPr>
            <w:tcW w:w="2268" w:type="dxa"/>
            <w:shd w:val="clear" w:color="auto" w:fill="DAE9F7" w:themeFill="text2" w:themeFillTint="1A"/>
          </w:tcPr>
          <w:p w14:paraId="43A0A9CC" w14:textId="77777777" w:rsidR="0005262B" w:rsidRDefault="001E6A30">
            <w:r>
              <w:t>Para 2</w:t>
            </w:r>
            <w:r w:rsidR="0005262B">
              <w:t xml:space="preserve">: </w:t>
            </w:r>
          </w:p>
          <w:p w14:paraId="11CA2B77" w14:textId="65B08C5C" w:rsidR="00B74650" w:rsidRDefault="001A2965">
            <w:r>
              <w:t>L</w:t>
            </w:r>
            <w:r w:rsidR="0005262B">
              <w:t>ist of current and planned uses or activities</w:t>
            </w:r>
          </w:p>
        </w:tc>
        <w:tc>
          <w:tcPr>
            <w:tcW w:w="6521" w:type="dxa"/>
            <w:shd w:val="clear" w:color="auto" w:fill="DAE9F7" w:themeFill="text2" w:themeFillTint="1A"/>
          </w:tcPr>
          <w:p w14:paraId="0AF4E15D" w14:textId="78628534" w:rsidR="0005262B" w:rsidRDefault="0005262B" w:rsidP="000D7EA9">
            <w:pPr>
              <w:pStyle w:val="ListParagraph"/>
              <w:numPr>
                <w:ilvl w:val="0"/>
                <w:numId w:val="9"/>
              </w:numPr>
            </w:pPr>
            <w:r>
              <w:t>A delegation suggested that the</w:t>
            </w:r>
            <w:r w:rsidR="000A1760">
              <w:t xml:space="preserve"> list of current and planned uses or activities in the Marine Environment should be deleted as it is incomplete, potentially misleading and not </w:t>
            </w:r>
            <w:r>
              <w:t>future proof</w:t>
            </w:r>
            <w:r w:rsidR="000A1760">
              <w:t xml:space="preserve">. </w:t>
            </w:r>
            <w:r w:rsidR="000A1760" w:rsidRPr="000A1760">
              <w:t xml:space="preserve">If specific activities are to be enumerated here, a cross-reference to those activities in </w:t>
            </w:r>
            <w:r w:rsidR="000A1760">
              <w:t>DR 31bis</w:t>
            </w:r>
            <w:r w:rsidR="000A1760" w:rsidRPr="000A1760">
              <w:t xml:space="preserve"> should be included.</w:t>
            </w:r>
          </w:p>
          <w:p w14:paraId="2E3D5AA6" w14:textId="77777777" w:rsidR="0005262B" w:rsidRDefault="0005262B" w:rsidP="0005262B">
            <w:pPr>
              <w:pStyle w:val="ListParagraph"/>
              <w:ind w:left="360"/>
            </w:pPr>
          </w:p>
          <w:p w14:paraId="103DAF1A" w14:textId="0C16E75C" w:rsidR="0005262B" w:rsidRDefault="0005262B" w:rsidP="000D7EA9">
            <w:pPr>
              <w:pStyle w:val="ListParagraph"/>
              <w:numPr>
                <w:ilvl w:val="0"/>
                <w:numId w:val="9"/>
              </w:numPr>
            </w:pPr>
            <w:r>
              <w:t>A delegation suggested that “activities related to environmental protection measures and area-based management tools established or under consideration by competent international organizations” should be removed from the list, as: (i) “activities related to environmental protection measures” is too vague</w:t>
            </w:r>
            <w:r w:rsidR="00327650">
              <w:t xml:space="preserve"> and is not a term found in UNCLOS</w:t>
            </w:r>
            <w:r>
              <w:t>; (ii)</w:t>
            </w:r>
            <w:r w:rsidR="001C7719">
              <w:t xml:space="preserve"> </w:t>
            </w:r>
            <w:r>
              <w:t>“area-based management tools under consideration…” is excessive</w:t>
            </w:r>
            <w:r w:rsidR="00A63C9E">
              <w:t xml:space="preserve"> (presumably because they are still under consideration)</w:t>
            </w:r>
            <w:r w:rsidR="001C7719">
              <w:t xml:space="preserve">; and (iii) these measures and tools could be established or under consideration by competent international </w:t>
            </w:r>
            <w:r w:rsidR="00404848">
              <w:t>organizations</w:t>
            </w:r>
            <w:r w:rsidR="001C7719">
              <w:t xml:space="preserve"> that not all Member States of the Authority are parties to.</w:t>
            </w:r>
          </w:p>
          <w:p w14:paraId="13F21C9F" w14:textId="60DFFF54" w:rsidR="001353ED" w:rsidRDefault="001353ED"/>
        </w:tc>
        <w:tc>
          <w:tcPr>
            <w:tcW w:w="6237" w:type="dxa"/>
            <w:shd w:val="clear" w:color="auto" w:fill="DAE9F7" w:themeFill="text2" w:themeFillTint="1A"/>
          </w:tcPr>
          <w:p w14:paraId="0C066FB5" w14:textId="055C6444" w:rsidR="0012191B" w:rsidRPr="000B44F3" w:rsidRDefault="00804D0F" w:rsidP="0012191B">
            <w:pPr>
              <w:tabs>
                <w:tab w:val="num" w:pos="720"/>
              </w:tabs>
            </w:pPr>
            <w:r w:rsidRPr="0012191B">
              <w:rPr>
                <w:b/>
                <w:bCs/>
              </w:rPr>
              <w:t>We understand the concerns raised in (2) an</w:t>
            </w:r>
            <w:r w:rsidR="0012191B" w:rsidRPr="0012191B">
              <w:rPr>
                <w:b/>
                <w:bCs/>
              </w:rPr>
              <w:t>d propose replacing</w:t>
            </w:r>
            <w:r w:rsidR="0012191B" w:rsidRPr="000B44F3">
              <w:t xml:space="preserve"> “</w:t>
            </w:r>
            <w:r w:rsidR="0012191B" w:rsidRPr="0012191B">
              <w:rPr>
                <w:i/>
                <w:iCs/>
              </w:rPr>
              <w:t xml:space="preserve">activities related to environmental protection measures and area-based management tools established or under consideration by competent international organizations” </w:t>
            </w:r>
            <w:r w:rsidR="0012191B" w:rsidRPr="0012191B">
              <w:rPr>
                <w:b/>
                <w:bCs/>
              </w:rPr>
              <w:t>with</w:t>
            </w:r>
            <w:r w:rsidR="0012191B" w:rsidRPr="0012191B">
              <w:rPr>
                <w:b/>
                <w:bCs/>
                <w:i/>
                <w:iCs/>
              </w:rPr>
              <w:t xml:space="preserve"> “</w:t>
            </w:r>
            <w:bookmarkStart w:id="0" w:name="_Hlk214574272"/>
            <w:r w:rsidR="0012191B" w:rsidRPr="0012191B">
              <w:rPr>
                <w:b/>
                <w:bCs/>
                <w:i/>
                <w:iCs/>
              </w:rPr>
              <w:t>activities to ensure effective protection for the Marine Environment</w:t>
            </w:r>
            <w:bookmarkEnd w:id="0"/>
            <w:r w:rsidR="0012191B" w:rsidRPr="0012191B">
              <w:rPr>
                <w:b/>
                <w:bCs/>
                <w:i/>
                <w:iCs/>
              </w:rPr>
              <w:t>”</w:t>
            </w:r>
            <w:r w:rsidR="0012191B">
              <w:t>. The proposed language mirrors the language in Art 145 and hopefully addresses the delegation’s concerns</w:t>
            </w:r>
            <w:r w:rsidR="002D5700">
              <w:t xml:space="preserve"> about alignment with UNCLOS.</w:t>
            </w:r>
          </w:p>
          <w:p w14:paraId="707D2522" w14:textId="77777777" w:rsidR="0012191B" w:rsidRDefault="0012191B" w:rsidP="00A63C9E">
            <w:pPr>
              <w:tabs>
                <w:tab w:val="num" w:pos="720"/>
              </w:tabs>
            </w:pPr>
          </w:p>
          <w:p w14:paraId="10FD26E6" w14:textId="7EBF2829" w:rsidR="009D1098" w:rsidRPr="000B44F3" w:rsidRDefault="0012191B" w:rsidP="002D5700">
            <w:r w:rsidRPr="0012191B">
              <w:t>We also considered the</w:t>
            </w:r>
            <w:r w:rsidR="002B2D94">
              <w:t xml:space="preserve"> original</w:t>
            </w:r>
            <w:r w:rsidRPr="0012191B">
              <w:t xml:space="preserve"> proposal</w:t>
            </w:r>
            <w:r w:rsidR="002B2D94">
              <w:t xml:space="preserve"> in (2)</w:t>
            </w:r>
            <w:r w:rsidRPr="0012191B">
              <w:t xml:space="preserve"> to r</w:t>
            </w:r>
            <w:r w:rsidR="009D1098" w:rsidRPr="0012191B">
              <w:t>emove</w:t>
            </w:r>
            <w:r w:rsidR="00A63C9E" w:rsidRPr="0012191B">
              <w:t xml:space="preserve"> “</w:t>
            </w:r>
            <w:r w:rsidR="00A63C9E" w:rsidRPr="0012191B">
              <w:rPr>
                <w:i/>
                <w:iCs/>
              </w:rPr>
              <w:t xml:space="preserve">activities related to environmental </w:t>
            </w:r>
            <w:r>
              <w:rPr>
                <w:i/>
                <w:iCs/>
              </w:rPr>
              <w:t>…</w:t>
            </w:r>
            <w:r w:rsidR="00A63C9E" w:rsidRPr="0012191B">
              <w:rPr>
                <w:i/>
                <w:iCs/>
              </w:rPr>
              <w:t xml:space="preserve"> organizations</w:t>
            </w:r>
            <w:r w:rsidR="00A63C9E">
              <w:t>”</w:t>
            </w:r>
            <w:r>
              <w:t xml:space="preserve"> entirely.</w:t>
            </w:r>
            <w:r w:rsidR="00A63C9E">
              <w:t xml:space="preserve"> We note that this list is not meant to be an exhaustive one and there are appropriate caveats to this </w:t>
            </w:r>
            <w:r w:rsidR="00A63C9E" w:rsidRPr="000B44F3">
              <w:t>effect (“including but not limited to”</w:t>
            </w:r>
            <w:r>
              <w:t xml:space="preserve">). Thus, removing the language entirely would not </w:t>
            </w:r>
            <w:r w:rsidR="002D5700">
              <w:t xml:space="preserve">expressly exclude such activities. However, we think that retaining a reference to activities to provide environmental protection in some form might be important to some </w:t>
            </w:r>
            <w:proofErr w:type="gramStart"/>
            <w:r w:rsidR="002D5700" w:rsidRPr="00F559F9">
              <w:t>delegations, and</w:t>
            </w:r>
            <w:proofErr w:type="gramEnd"/>
            <w:r w:rsidR="002D5700" w:rsidRPr="00F559F9">
              <w:t xml:space="preserve"> have therefore proposed </w:t>
            </w:r>
            <w:r w:rsidR="00F559F9" w:rsidRPr="00F559F9">
              <w:t>to replace it with “</w:t>
            </w:r>
            <w:r w:rsidR="00F559F9" w:rsidRPr="00F559F9">
              <w:rPr>
                <w:i/>
                <w:iCs/>
              </w:rPr>
              <w:t>activities to ensure effective protection for the Marine Environment”.</w:t>
            </w:r>
          </w:p>
          <w:p w14:paraId="3C737483" w14:textId="5ACC3809" w:rsidR="000A3F4F" w:rsidRDefault="000A3F4F" w:rsidP="009D1098">
            <w:pPr>
              <w:tabs>
                <w:tab w:val="num" w:pos="720"/>
              </w:tabs>
            </w:pPr>
          </w:p>
          <w:p w14:paraId="4F64281F" w14:textId="4D3368A5" w:rsidR="00A63C9E" w:rsidRDefault="009D1098" w:rsidP="00A63C9E">
            <w:pPr>
              <w:tabs>
                <w:tab w:val="num" w:pos="720"/>
              </w:tabs>
            </w:pPr>
            <w:r>
              <w:t xml:space="preserve">Our responses to </w:t>
            </w:r>
            <w:r w:rsidR="00804D0F">
              <w:t xml:space="preserve">other </w:t>
            </w:r>
            <w:r>
              <w:t>specific inputs</w:t>
            </w:r>
            <w:r w:rsidR="00A63C9E">
              <w:t>:</w:t>
            </w:r>
          </w:p>
          <w:p w14:paraId="3C0D250B" w14:textId="77777777" w:rsidR="00A63C9E" w:rsidRDefault="00A63C9E" w:rsidP="00A63C9E">
            <w:pPr>
              <w:tabs>
                <w:tab w:val="num" w:pos="720"/>
              </w:tabs>
            </w:pPr>
          </w:p>
          <w:p w14:paraId="0B2147DC" w14:textId="77777777" w:rsidR="0027475A" w:rsidRDefault="00BF5DA1" w:rsidP="0027475A">
            <w:pPr>
              <w:numPr>
                <w:ilvl w:val="0"/>
                <w:numId w:val="5"/>
              </w:numPr>
              <w:tabs>
                <w:tab w:val="num" w:pos="720"/>
              </w:tabs>
            </w:pPr>
            <w:r>
              <w:lastRenderedPageBreak/>
              <w:t>(1): We recall that many delegations intervened during the March 2024 Council meeting to emphasise the importance of making specific reference to other activities in the Marine Environment in DR</w:t>
            </w:r>
            <w:r w:rsidR="0027475A">
              <w:t xml:space="preserve"> </w:t>
            </w:r>
            <w:r>
              <w:t xml:space="preserve">31. We therefore inserted this proposal by another delegation as a compromise and would prefer to retain it to address previous concerns that were raised. </w:t>
            </w:r>
          </w:p>
          <w:p w14:paraId="19110B0E" w14:textId="77777777" w:rsidR="0027475A" w:rsidRDefault="0027475A" w:rsidP="0027475A">
            <w:pPr>
              <w:tabs>
                <w:tab w:val="num" w:pos="720"/>
              </w:tabs>
              <w:ind w:left="360"/>
            </w:pPr>
          </w:p>
          <w:p w14:paraId="56B27199" w14:textId="47B52EED" w:rsidR="00B74650" w:rsidRDefault="0027475A" w:rsidP="00A63C9E">
            <w:pPr>
              <w:numPr>
                <w:ilvl w:val="0"/>
                <w:numId w:val="5"/>
              </w:numPr>
              <w:tabs>
                <w:tab w:val="num" w:pos="720"/>
              </w:tabs>
            </w:pPr>
            <w:r>
              <w:t xml:space="preserve">(1): </w:t>
            </w:r>
            <w:r w:rsidR="00BF5DA1">
              <w:t>We disagree with the need to cross-reference this list of activities in DR</w:t>
            </w:r>
            <w:r>
              <w:t xml:space="preserve"> </w:t>
            </w:r>
            <w:r w:rsidR="00BF5DA1">
              <w:t>31 bis.</w:t>
            </w:r>
            <w:r w:rsidR="00FA1F9E">
              <w:t xml:space="preserve"> </w:t>
            </w:r>
            <w:r w:rsidR="00BF5DA1">
              <w:t>DR</w:t>
            </w:r>
            <w:r>
              <w:t xml:space="preserve"> </w:t>
            </w:r>
            <w:r w:rsidR="00BF5DA1">
              <w:t xml:space="preserve">31 bis </w:t>
            </w:r>
            <w:r w:rsidR="00BF5DA1" w:rsidRPr="00BF5DA1">
              <w:t xml:space="preserve">is not intended to expound on </w:t>
            </w:r>
            <w:r w:rsidR="00BF5DA1">
              <w:t xml:space="preserve">UNCLOS </w:t>
            </w:r>
            <w:r w:rsidR="00BF5DA1" w:rsidRPr="00BF5DA1">
              <w:t>Art 147</w:t>
            </w:r>
            <w:r w:rsidR="00327650">
              <w:t xml:space="preserve">. The Art 147 </w:t>
            </w:r>
            <w:r w:rsidR="00327650" w:rsidRPr="00327650">
              <w:t xml:space="preserve">balancing exercise to accommodate activities in the Area as well as other activities in the </w:t>
            </w:r>
            <w:r w:rsidR="00327650">
              <w:t>M</w:t>
            </w:r>
            <w:r w:rsidR="00327650" w:rsidRPr="00327650">
              <w:t xml:space="preserve">arine </w:t>
            </w:r>
            <w:r w:rsidR="00327650">
              <w:t xml:space="preserve">Environment </w:t>
            </w:r>
            <w:r w:rsidR="00BF5DA1" w:rsidRPr="00BF5DA1">
              <w:t>is dealt with in DR 31</w:t>
            </w:r>
            <w:r>
              <w:t xml:space="preserve">. DR 31 bis </w:t>
            </w:r>
            <w:r w:rsidR="00BF5DA1" w:rsidRPr="00BF5DA1">
              <w:t xml:space="preserve">is meant to set out </w:t>
            </w:r>
            <w:r w:rsidR="00327650">
              <w:t>specific</w:t>
            </w:r>
            <w:r w:rsidR="00BF5DA1" w:rsidRPr="00BF5DA1">
              <w:t xml:space="preserve"> measures to reduce the risk of damage to sub</w:t>
            </w:r>
            <w:r>
              <w:t>marine</w:t>
            </w:r>
            <w:r w:rsidR="00BF5DA1" w:rsidRPr="00BF5DA1">
              <w:t xml:space="preserve"> cables and pipelines</w:t>
            </w:r>
            <w:r>
              <w:t xml:space="preserve"> in the context of Exploitation activities</w:t>
            </w:r>
            <w:r w:rsidR="00327650">
              <w:t xml:space="preserve"> which is conceptually distinct and does not relate to other activities in the Marine Environment.</w:t>
            </w:r>
          </w:p>
          <w:p w14:paraId="4A40BB11" w14:textId="186D251C" w:rsidR="001D30A1" w:rsidRDefault="001D30A1" w:rsidP="00804D0F"/>
        </w:tc>
      </w:tr>
      <w:tr w:rsidR="00B74650" w14:paraId="34D7FDBF" w14:textId="77777777" w:rsidTr="00CA5288">
        <w:tc>
          <w:tcPr>
            <w:tcW w:w="2268" w:type="dxa"/>
          </w:tcPr>
          <w:p w14:paraId="76D22877" w14:textId="77777777" w:rsidR="00B74650" w:rsidRDefault="001C7719">
            <w:r>
              <w:lastRenderedPageBreak/>
              <w:t xml:space="preserve">Para 3 </w:t>
            </w:r>
            <w:r w:rsidR="00E07FDE">
              <w:t>a</w:t>
            </w:r>
            <w:r>
              <w:t>lt</w:t>
            </w:r>
            <w:r w:rsidR="001A2965">
              <w:t>:</w:t>
            </w:r>
          </w:p>
          <w:p w14:paraId="3259A90C" w14:textId="31C53E73" w:rsidR="001A2965" w:rsidRDefault="001A2965">
            <w:r>
              <w:t>Proposed deletion</w:t>
            </w:r>
          </w:p>
        </w:tc>
        <w:tc>
          <w:tcPr>
            <w:tcW w:w="6521" w:type="dxa"/>
          </w:tcPr>
          <w:p w14:paraId="4612A66B" w14:textId="4B137661" w:rsidR="00B74650" w:rsidRDefault="00E07FDE" w:rsidP="00E07FDE">
            <w:r>
              <w:t>A delegation expressed support for the</w:t>
            </w:r>
            <w:r w:rsidR="00DB40B5" w:rsidRPr="00DB40B5">
              <w:t xml:space="preserve"> deletion of para 3</w:t>
            </w:r>
            <w:r>
              <w:t xml:space="preserve"> al</w:t>
            </w:r>
            <w:r w:rsidR="00DB40B5" w:rsidRPr="00DB40B5">
              <w:t xml:space="preserve">t. The requirement to </w:t>
            </w:r>
            <w:proofErr w:type="gramStart"/>
            <w:r w:rsidR="00DB40B5" w:rsidRPr="00DB40B5">
              <w:t>enter into</w:t>
            </w:r>
            <w:proofErr w:type="gramEnd"/>
            <w:r w:rsidR="00DB40B5" w:rsidRPr="00DB40B5">
              <w:t xml:space="preserve"> consultations does not necessarily fulfil the “reasonable regard” obligation in all circumstances. Accordingly, this paragraph is too narrow and prescriptive.</w:t>
            </w:r>
          </w:p>
          <w:p w14:paraId="34B70D5F" w14:textId="4986B649" w:rsidR="00E07FDE" w:rsidRDefault="00E07FDE" w:rsidP="00E07FDE">
            <w:pPr>
              <w:pStyle w:val="ListParagraph"/>
              <w:ind w:left="360"/>
            </w:pPr>
          </w:p>
        </w:tc>
        <w:tc>
          <w:tcPr>
            <w:tcW w:w="6237" w:type="dxa"/>
          </w:tcPr>
          <w:p w14:paraId="6D88D172" w14:textId="2CD37A54" w:rsidR="00B74650" w:rsidRDefault="000714CE">
            <w:r>
              <w:t>-</w:t>
            </w:r>
          </w:p>
        </w:tc>
      </w:tr>
      <w:tr w:rsidR="000A1760" w14:paraId="72DF349D" w14:textId="77777777" w:rsidTr="00CA5288">
        <w:tc>
          <w:tcPr>
            <w:tcW w:w="15026" w:type="dxa"/>
            <w:gridSpan w:val="3"/>
            <w:shd w:val="clear" w:color="auto" w:fill="D1D1D1" w:themeFill="background2" w:themeFillShade="E6"/>
          </w:tcPr>
          <w:p w14:paraId="2DE2DA58" w14:textId="0926C717" w:rsidR="000A1760" w:rsidRPr="000A1760" w:rsidRDefault="000A1760">
            <w:pPr>
              <w:rPr>
                <w:b/>
                <w:bCs/>
                <w:i/>
                <w:iCs/>
              </w:rPr>
            </w:pPr>
            <w:r>
              <w:rPr>
                <w:b/>
                <w:bCs/>
                <w:i/>
                <w:iCs/>
              </w:rPr>
              <w:t>DR 31</w:t>
            </w:r>
            <w:r w:rsidR="001A2965">
              <w:rPr>
                <w:b/>
                <w:bCs/>
                <w:i/>
                <w:iCs/>
              </w:rPr>
              <w:t xml:space="preserve"> </w:t>
            </w:r>
            <w:r>
              <w:rPr>
                <w:b/>
                <w:bCs/>
                <w:i/>
                <w:iCs/>
              </w:rPr>
              <w:t>bis</w:t>
            </w:r>
          </w:p>
        </w:tc>
      </w:tr>
      <w:tr w:rsidR="000A1760" w14:paraId="29C17AF4" w14:textId="77777777" w:rsidTr="00CA5288">
        <w:tc>
          <w:tcPr>
            <w:tcW w:w="2268" w:type="dxa"/>
          </w:tcPr>
          <w:p w14:paraId="63435BEC" w14:textId="75DA36E0" w:rsidR="001353ED" w:rsidRDefault="001A2965">
            <w:r>
              <w:t>General comments on DR 31 bis versus DR 31 bis alt</w:t>
            </w:r>
          </w:p>
        </w:tc>
        <w:tc>
          <w:tcPr>
            <w:tcW w:w="6521" w:type="dxa"/>
          </w:tcPr>
          <w:p w14:paraId="25E71BBA" w14:textId="5A46371B" w:rsidR="001353ED" w:rsidRDefault="00E07FDE" w:rsidP="000D7EA9">
            <w:pPr>
              <w:pStyle w:val="ListParagraph"/>
              <w:numPr>
                <w:ilvl w:val="0"/>
                <w:numId w:val="14"/>
              </w:numPr>
            </w:pPr>
            <w:r>
              <w:t xml:space="preserve">Four delegations expressed a preference to continue work </w:t>
            </w:r>
            <w:proofErr w:type="gramStart"/>
            <w:r>
              <w:t>on the basis of</w:t>
            </w:r>
            <w:proofErr w:type="gramEnd"/>
            <w:r>
              <w:t xml:space="preserve"> </w:t>
            </w:r>
            <w:r w:rsidR="001353ED">
              <w:t>DR 31</w:t>
            </w:r>
            <w:r w:rsidR="001A2965">
              <w:t xml:space="preserve"> </w:t>
            </w:r>
            <w:r w:rsidR="001353ED">
              <w:t>bis over DR 3</w:t>
            </w:r>
            <w:r>
              <w:t xml:space="preserve">1 </w:t>
            </w:r>
            <w:r w:rsidR="001353ED">
              <w:t>bis</w:t>
            </w:r>
            <w:r>
              <w:t xml:space="preserve"> alt for the following reasons:</w:t>
            </w:r>
          </w:p>
          <w:p w14:paraId="4DAB5AC9" w14:textId="77777777" w:rsidR="00E07FDE" w:rsidRDefault="00E07FDE"/>
          <w:p w14:paraId="6826AAAA" w14:textId="0D20F006" w:rsidR="000A1760" w:rsidRDefault="001353ED" w:rsidP="000D7EA9">
            <w:pPr>
              <w:pStyle w:val="ListParagraph"/>
              <w:numPr>
                <w:ilvl w:val="0"/>
                <w:numId w:val="13"/>
              </w:numPr>
            </w:pPr>
            <w:r>
              <w:t>DR 31</w:t>
            </w:r>
            <w:r w:rsidR="001A2965">
              <w:t xml:space="preserve"> </w:t>
            </w:r>
            <w:r>
              <w:t>bis contains practical provisions that better operationalise the underlying legal obligations.</w:t>
            </w:r>
          </w:p>
          <w:p w14:paraId="76150CE2" w14:textId="77777777" w:rsidR="00E07FDE" w:rsidRDefault="00E07FDE" w:rsidP="00E07FDE">
            <w:pPr>
              <w:pStyle w:val="ListParagraph"/>
            </w:pPr>
          </w:p>
          <w:p w14:paraId="01A3C93B" w14:textId="0DFBEF8C" w:rsidR="00E07FDE" w:rsidRPr="001A2965" w:rsidRDefault="001353ED" w:rsidP="000D7EA9">
            <w:pPr>
              <w:pStyle w:val="ListParagraph"/>
              <w:numPr>
                <w:ilvl w:val="0"/>
                <w:numId w:val="13"/>
              </w:numPr>
              <w:rPr>
                <w:bCs/>
              </w:rPr>
            </w:pPr>
            <w:r>
              <w:t>DR 31</w:t>
            </w:r>
            <w:r w:rsidR="001A2965">
              <w:t xml:space="preserve"> </w:t>
            </w:r>
            <w:r>
              <w:t>bis</w:t>
            </w:r>
            <w:r w:rsidR="00E07FDE">
              <w:t xml:space="preserve"> contains clear</w:t>
            </w:r>
            <w:r>
              <w:t xml:space="preserve"> obligations while retaining sufficient room </w:t>
            </w:r>
            <w:r w:rsidR="00E07FDE">
              <w:t xml:space="preserve">for </w:t>
            </w:r>
            <w:r>
              <w:t>adapt</w:t>
            </w:r>
            <w:r w:rsidR="00E07FDE">
              <w:t>ation</w:t>
            </w:r>
            <w:r>
              <w:t xml:space="preserve"> to real-life situations.</w:t>
            </w:r>
          </w:p>
          <w:p w14:paraId="54BC35D9" w14:textId="77777777" w:rsidR="00E07FDE" w:rsidRPr="001A2965" w:rsidRDefault="00E07FDE" w:rsidP="00E07FDE">
            <w:pPr>
              <w:pStyle w:val="ListParagraph"/>
              <w:rPr>
                <w:bCs/>
              </w:rPr>
            </w:pPr>
          </w:p>
          <w:p w14:paraId="29F69E8E" w14:textId="683BCC0E" w:rsidR="002B3F2F" w:rsidRPr="002B3F2F" w:rsidRDefault="001A2965" w:rsidP="000D7EA9">
            <w:pPr>
              <w:pStyle w:val="ListParagraph"/>
              <w:numPr>
                <w:ilvl w:val="0"/>
                <w:numId w:val="13"/>
              </w:numPr>
              <w:rPr>
                <w:bCs/>
                <w:lang w:val="en-US"/>
              </w:rPr>
            </w:pPr>
            <w:r>
              <w:rPr>
                <w:bCs/>
                <w:lang w:val="en-US"/>
              </w:rPr>
              <w:t>T</w:t>
            </w:r>
            <w:r w:rsidRPr="001A2965">
              <w:rPr>
                <w:bCs/>
                <w:lang w:val="en-US"/>
              </w:rPr>
              <w:t>he</w:t>
            </w:r>
            <w:r w:rsidR="00E07FDE" w:rsidRPr="001A2965">
              <w:rPr>
                <w:bCs/>
                <w:lang w:val="en-US"/>
              </w:rPr>
              <w:t xml:space="preserve"> reasons for the obligations on Sponsoring States</w:t>
            </w:r>
            <w:r w:rsidRPr="001A2965">
              <w:rPr>
                <w:bCs/>
                <w:lang w:val="en-US"/>
              </w:rPr>
              <w:t xml:space="preserve"> and the </w:t>
            </w:r>
            <w:r w:rsidR="002B3F2F" w:rsidRPr="002B3F2F">
              <w:rPr>
                <w:bCs/>
                <w:lang w:val="en-US"/>
              </w:rPr>
              <w:t xml:space="preserve">focus on the right of States to lay submarine cables and pipelines </w:t>
            </w:r>
            <w:proofErr w:type="gramStart"/>
            <w:r w:rsidRPr="001A2965">
              <w:rPr>
                <w:bCs/>
                <w:lang w:val="en-US"/>
              </w:rPr>
              <w:t>in</w:t>
            </w:r>
            <w:proofErr w:type="gramEnd"/>
            <w:r w:rsidRPr="001A2965">
              <w:rPr>
                <w:bCs/>
                <w:lang w:val="en-US"/>
              </w:rPr>
              <w:t xml:space="preserve"> DR 31 bis alt are unclear.</w:t>
            </w:r>
            <w:r>
              <w:rPr>
                <w:bCs/>
                <w:lang w:val="en-US"/>
              </w:rPr>
              <w:t xml:space="preserve"> It is also worth noting that currently, most submarine cables and pipelines are private and belong to international companies.</w:t>
            </w:r>
          </w:p>
          <w:p w14:paraId="443CB778" w14:textId="77777777" w:rsidR="001A2965" w:rsidRPr="001A2965" w:rsidRDefault="001A2965" w:rsidP="001A2965">
            <w:pPr>
              <w:pStyle w:val="ListParagraph"/>
              <w:rPr>
                <w:bCs/>
              </w:rPr>
            </w:pPr>
          </w:p>
          <w:p w14:paraId="0829117A" w14:textId="3F84D2EF" w:rsidR="00DB40B5" w:rsidRDefault="001A2965" w:rsidP="000D7EA9">
            <w:pPr>
              <w:pStyle w:val="ListParagraph"/>
              <w:numPr>
                <w:ilvl w:val="0"/>
                <w:numId w:val="13"/>
              </w:numPr>
            </w:pPr>
            <w:r w:rsidRPr="001A2965">
              <w:rPr>
                <w:lang w:val="en-GB"/>
              </w:rPr>
              <w:t>DR 31 bis alt</w:t>
            </w:r>
            <w:r w:rsidR="00DB40B5" w:rsidRPr="001A2965">
              <w:rPr>
                <w:lang w:val="en-GB"/>
              </w:rPr>
              <w:t xml:space="preserve"> does not fit well in the overall context of these two regulations due to its connection with deleted DR</w:t>
            </w:r>
            <w:r w:rsidRPr="001A2965">
              <w:rPr>
                <w:lang w:val="en-GB"/>
              </w:rPr>
              <w:t xml:space="preserve"> </w:t>
            </w:r>
            <w:r w:rsidR="00DB40B5" w:rsidRPr="001A2965">
              <w:rPr>
                <w:lang w:val="en-GB"/>
              </w:rPr>
              <w:t>31</w:t>
            </w:r>
            <w:r w:rsidRPr="001A2965">
              <w:rPr>
                <w:lang w:val="en-GB"/>
              </w:rPr>
              <w:t xml:space="preserve"> para 3 a</w:t>
            </w:r>
            <w:r w:rsidR="00DB40B5" w:rsidRPr="001A2965">
              <w:rPr>
                <w:lang w:val="en-GB"/>
              </w:rPr>
              <w:t>lt, and the substance is appropriately covered by DR</w:t>
            </w:r>
            <w:r w:rsidRPr="001A2965">
              <w:rPr>
                <w:lang w:val="en-GB"/>
              </w:rPr>
              <w:t xml:space="preserve"> </w:t>
            </w:r>
            <w:r w:rsidR="00DB40B5" w:rsidRPr="001A2965">
              <w:rPr>
                <w:lang w:val="en-GB"/>
              </w:rPr>
              <w:t>31</w:t>
            </w:r>
            <w:r w:rsidRPr="001A2965">
              <w:rPr>
                <w:lang w:val="en-GB"/>
              </w:rPr>
              <w:t xml:space="preserve"> </w:t>
            </w:r>
            <w:r w:rsidR="00DB40B5" w:rsidRPr="001A2965">
              <w:rPr>
                <w:lang w:val="en-GB"/>
              </w:rPr>
              <w:t>bis</w:t>
            </w:r>
            <w:r w:rsidRPr="001A2965">
              <w:rPr>
                <w:lang w:val="en-GB"/>
              </w:rPr>
              <w:t>.</w:t>
            </w:r>
          </w:p>
          <w:p w14:paraId="2A2A4AEC" w14:textId="0FC963CF" w:rsidR="001353ED" w:rsidRDefault="001353ED"/>
        </w:tc>
        <w:tc>
          <w:tcPr>
            <w:tcW w:w="6237" w:type="dxa"/>
          </w:tcPr>
          <w:p w14:paraId="3388FF93" w14:textId="78D0796E" w:rsidR="000A1760" w:rsidRDefault="000714CE">
            <w:r>
              <w:lastRenderedPageBreak/>
              <w:t xml:space="preserve">We have suggested the deletion of DR 31 bis alt in the Rev. 2 proposal, and to continue working </w:t>
            </w:r>
            <w:proofErr w:type="gramStart"/>
            <w:r>
              <w:t>on the basis of</w:t>
            </w:r>
            <w:proofErr w:type="gramEnd"/>
            <w:r>
              <w:t xml:space="preserve"> DR 31 bis.</w:t>
            </w:r>
          </w:p>
        </w:tc>
      </w:tr>
      <w:tr w:rsidR="00DB40B5" w14:paraId="6C0F26E7" w14:textId="77777777" w:rsidTr="00CA5288">
        <w:tc>
          <w:tcPr>
            <w:tcW w:w="2268" w:type="dxa"/>
          </w:tcPr>
          <w:p w14:paraId="2842C3E3" w14:textId="17B32ABA" w:rsidR="001A2965" w:rsidRDefault="001A2965">
            <w:r>
              <w:t>Chapeaux</w:t>
            </w:r>
            <w:r w:rsidR="00804D0F">
              <w:t>/Para 1</w:t>
            </w:r>
            <w:r>
              <w:t>:</w:t>
            </w:r>
          </w:p>
          <w:p w14:paraId="6971C59F" w14:textId="77777777" w:rsidR="001A2965" w:rsidRDefault="001A2965">
            <w:r>
              <w:t>Editorial comments</w:t>
            </w:r>
          </w:p>
          <w:p w14:paraId="06C6FFFF" w14:textId="2351B8C0" w:rsidR="003F6ECB" w:rsidRDefault="003F6ECB"/>
        </w:tc>
        <w:tc>
          <w:tcPr>
            <w:tcW w:w="6521" w:type="dxa"/>
          </w:tcPr>
          <w:p w14:paraId="1B578566" w14:textId="6704EE45" w:rsidR="00DB40B5" w:rsidRDefault="001A2965">
            <w:r>
              <w:t>A delegation suggested inserting a</w:t>
            </w:r>
            <w:r w:rsidR="00DB40B5">
              <w:t xml:space="preserve"> comma after “including”.</w:t>
            </w:r>
          </w:p>
        </w:tc>
        <w:tc>
          <w:tcPr>
            <w:tcW w:w="6237" w:type="dxa"/>
          </w:tcPr>
          <w:p w14:paraId="07A55088" w14:textId="0226395B" w:rsidR="00DB40B5" w:rsidRDefault="000714CE">
            <w:r>
              <w:t>Agree</w:t>
            </w:r>
            <w:r w:rsidR="0063454D">
              <w:t xml:space="preserve">, </w:t>
            </w:r>
            <w:r>
              <w:t>incorporated</w:t>
            </w:r>
            <w:r w:rsidR="0063454D">
              <w:t xml:space="preserve"> in</w:t>
            </w:r>
            <w:r w:rsidR="00B1057C">
              <w:t>to</w:t>
            </w:r>
            <w:r w:rsidR="00803BF2">
              <w:t xml:space="preserve"> the</w:t>
            </w:r>
            <w:r w:rsidR="0063454D">
              <w:t xml:space="preserve"> Rev. 2 proposal.</w:t>
            </w:r>
          </w:p>
        </w:tc>
      </w:tr>
      <w:tr w:rsidR="000A1760" w14:paraId="39F48D99" w14:textId="77777777" w:rsidTr="006A3A08">
        <w:tc>
          <w:tcPr>
            <w:tcW w:w="2268" w:type="dxa"/>
            <w:shd w:val="clear" w:color="auto" w:fill="DAE9F7" w:themeFill="text2" w:themeFillTint="1A"/>
          </w:tcPr>
          <w:p w14:paraId="75B3EB59" w14:textId="416AC876" w:rsidR="000A1760" w:rsidRDefault="003F6ECB">
            <w:r>
              <w:t>Chapeaux</w:t>
            </w:r>
            <w:r w:rsidR="00804D0F">
              <w:t>/Para 1</w:t>
            </w:r>
            <w:r>
              <w:t xml:space="preserve">: </w:t>
            </w:r>
          </w:p>
          <w:p w14:paraId="5460C581" w14:textId="1B80E3DF" w:rsidR="003F6ECB" w:rsidRDefault="003F6ECB">
            <w:r>
              <w:t>Standard of protection of submarine cables and pipelines</w:t>
            </w:r>
          </w:p>
        </w:tc>
        <w:tc>
          <w:tcPr>
            <w:tcW w:w="6521" w:type="dxa"/>
            <w:shd w:val="clear" w:color="auto" w:fill="DAE9F7" w:themeFill="text2" w:themeFillTint="1A"/>
          </w:tcPr>
          <w:p w14:paraId="0354A923" w14:textId="6DB82D35" w:rsidR="000A1760" w:rsidRDefault="003F6ECB" w:rsidP="000D7EA9">
            <w:pPr>
              <w:pStyle w:val="ListParagraph"/>
              <w:numPr>
                <w:ilvl w:val="0"/>
                <w:numId w:val="11"/>
              </w:numPr>
            </w:pPr>
            <w:r>
              <w:t xml:space="preserve">A delegation expressed support for the standard of protection in the </w:t>
            </w:r>
            <w:r w:rsidR="007B5FB7">
              <w:t>Rev. 1</w:t>
            </w:r>
            <w:r>
              <w:t xml:space="preserve"> proposal, “take reasonable measures to reduce the risks of damage”.</w:t>
            </w:r>
          </w:p>
          <w:p w14:paraId="1550359E" w14:textId="77777777" w:rsidR="003F6ECB" w:rsidRDefault="003F6ECB" w:rsidP="003F6ECB">
            <w:pPr>
              <w:pStyle w:val="ListParagraph"/>
              <w:ind w:left="360"/>
            </w:pPr>
          </w:p>
          <w:p w14:paraId="41FDD41D" w14:textId="564B7C08" w:rsidR="003F6ECB" w:rsidRPr="002B1069" w:rsidRDefault="003F6ECB" w:rsidP="000D7EA9">
            <w:pPr>
              <w:pStyle w:val="ListParagraph"/>
              <w:numPr>
                <w:ilvl w:val="0"/>
                <w:numId w:val="11"/>
              </w:numPr>
            </w:pPr>
            <w:r w:rsidRPr="002B1069">
              <w:t>A delegation suggested the language “take all necessary measures to reduce the risks of damage” which elevates the standard of protection. Th</w:t>
            </w:r>
            <w:r w:rsidR="002B1069" w:rsidRPr="002B1069">
              <w:t xml:space="preserve">e delegation </w:t>
            </w:r>
            <w:r w:rsidRPr="002B1069">
              <w:t>also</w:t>
            </w:r>
            <w:r w:rsidR="002B1069" w:rsidRPr="002B1069">
              <w:t xml:space="preserve"> notes that the C</w:t>
            </w:r>
            <w:r w:rsidRPr="002B1069">
              <w:t>ontractor (contrary to Sponsoring States) has full control over the exploitation</w:t>
            </w:r>
            <w:r w:rsidR="002B1069" w:rsidRPr="002B1069">
              <w:t xml:space="preserve"> activity that is taking place.</w:t>
            </w:r>
          </w:p>
          <w:p w14:paraId="1F85CBC5" w14:textId="0FDE5E9A" w:rsidR="001353ED" w:rsidRDefault="001353ED"/>
        </w:tc>
        <w:tc>
          <w:tcPr>
            <w:tcW w:w="6237" w:type="dxa"/>
            <w:shd w:val="clear" w:color="auto" w:fill="DAE9F7" w:themeFill="text2" w:themeFillTint="1A"/>
          </w:tcPr>
          <w:p w14:paraId="6AE6F93D" w14:textId="294D48D9" w:rsidR="00987A3B" w:rsidRPr="00987A3B" w:rsidRDefault="00987A3B">
            <w:r>
              <w:t xml:space="preserve">We </w:t>
            </w:r>
            <w:r w:rsidR="00B1057C">
              <w:t xml:space="preserve">find both “reasonable measures” and “all necessary measures” acceptable. </w:t>
            </w:r>
            <w:r w:rsidR="00B1057C" w:rsidRPr="002B2D94">
              <w:rPr>
                <w:b/>
                <w:bCs/>
              </w:rPr>
              <w:t xml:space="preserve">In the absence of further views, we will </w:t>
            </w:r>
            <w:r w:rsidR="002B2D94">
              <w:rPr>
                <w:b/>
                <w:bCs/>
              </w:rPr>
              <w:t>go with</w:t>
            </w:r>
            <w:r w:rsidR="00B1057C" w:rsidRPr="002B2D94">
              <w:rPr>
                <w:b/>
                <w:bCs/>
              </w:rPr>
              <w:t xml:space="preserve"> </w:t>
            </w:r>
            <w:r w:rsidRPr="002B2D94">
              <w:rPr>
                <w:b/>
                <w:bCs/>
              </w:rPr>
              <w:t>“all necessary measure</w:t>
            </w:r>
            <w:r w:rsidR="00B1057C" w:rsidRPr="002B2D94">
              <w:rPr>
                <w:b/>
                <w:bCs/>
              </w:rPr>
              <w:t>s</w:t>
            </w:r>
            <w:r w:rsidR="002B2D94">
              <w:rPr>
                <w:b/>
                <w:bCs/>
              </w:rPr>
              <w:t>” for the</w:t>
            </w:r>
            <w:r w:rsidR="007B5FB7" w:rsidRPr="002B2D94">
              <w:rPr>
                <w:b/>
                <w:bCs/>
              </w:rPr>
              <w:t xml:space="preserve"> Rev. 2 proposal.</w:t>
            </w:r>
          </w:p>
        </w:tc>
      </w:tr>
      <w:tr w:rsidR="00B74650" w14:paraId="783DF51C" w14:textId="77777777" w:rsidTr="006A3A08">
        <w:tc>
          <w:tcPr>
            <w:tcW w:w="2268" w:type="dxa"/>
            <w:shd w:val="clear" w:color="auto" w:fill="DAE9F7" w:themeFill="text2" w:themeFillTint="1A"/>
          </w:tcPr>
          <w:p w14:paraId="3C2A84F5" w14:textId="77777777" w:rsidR="00B74650" w:rsidRDefault="003F6ECB">
            <w:r>
              <w:t>Sub-para(a):</w:t>
            </w:r>
          </w:p>
          <w:p w14:paraId="5D2E61A0" w14:textId="0976F4C9" w:rsidR="003F6ECB" w:rsidRDefault="003F6ECB">
            <w:r>
              <w:t xml:space="preserve">Appropriate reference to </w:t>
            </w:r>
            <w:r w:rsidR="00404848">
              <w:t>organizations</w:t>
            </w:r>
            <w:r>
              <w:t xml:space="preserve"> such as the ICPC</w:t>
            </w:r>
          </w:p>
        </w:tc>
        <w:tc>
          <w:tcPr>
            <w:tcW w:w="6521" w:type="dxa"/>
            <w:shd w:val="clear" w:color="auto" w:fill="DAE9F7" w:themeFill="text2" w:themeFillTint="1A"/>
          </w:tcPr>
          <w:p w14:paraId="4C92A053" w14:textId="159077FE" w:rsidR="00C87D5A" w:rsidRDefault="00803BF2">
            <w:r w:rsidRPr="00803BF2">
              <w:rPr>
                <w:u w:val="single"/>
              </w:rPr>
              <w:t>Recap</w:t>
            </w:r>
            <w:r>
              <w:t>:</w:t>
            </w:r>
            <w:r w:rsidR="001353ED">
              <w:t xml:space="preserve"> </w:t>
            </w:r>
            <w:r w:rsidR="00C87D5A">
              <w:t xml:space="preserve">In response to the UK’s intervention to reconsider the deletion of “responsible </w:t>
            </w:r>
            <w:r w:rsidR="00404848">
              <w:t>organizations</w:t>
            </w:r>
            <w:r w:rsidR="00C87D5A">
              <w:t xml:space="preserve"> for” and consider a way to refer to </w:t>
            </w:r>
            <w:r w:rsidR="00404848">
              <w:t>organizations</w:t>
            </w:r>
            <w:r w:rsidR="00C87D5A">
              <w:t xml:space="preserve"> such as the ICPC, </w:t>
            </w:r>
            <w:r>
              <w:t>the FOP</w:t>
            </w:r>
            <w:r w:rsidR="00C87D5A">
              <w:t xml:space="preserve"> proposed two formulations for consideration: (i</w:t>
            </w:r>
            <w:r w:rsidR="00C87D5A" w:rsidRPr="00803BF2">
              <w:t>) “</w:t>
            </w:r>
            <w:r w:rsidR="00C87D5A" w:rsidRPr="00803BF2">
              <w:rPr>
                <w:b/>
                <w:bCs/>
              </w:rPr>
              <w:t xml:space="preserve">responsible </w:t>
            </w:r>
            <w:r w:rsidR="00404848">
              <w:rPr>
                <w:b/>
                <w:bCs/>
              </w:rPr>
              <w:t>organizations</w:t>
            </w:r>
            <w:r w:rsidR="00C87D5A" w:rsidRPr="00803BF2">
              <w:t>”; and (ii) “</w:t>
            </w:r>
            <w:r w:rsidR="00C87D5A" w:rsidRPr="00803BF2">
              <w:rPr>
                <w:b/>
                <w:bCs/>
              </w:rPr>
              <w:t>relevant stakeholders</w:t>
            </w:r>
            <w:r w:rsidR="00C87D5A" w:rsidRPr="00803BF2">
              <w:t>”.</w:t>
            </w:r>
          </w:p>
          <w:p w14:paraId="7B85D1D9" w14:textId="77777777" w:rsidR="00803BF2" w:rsidRDefault="00803BF2"/>
          <w:p w14:paraId="70F608FC" w14:textId="5616659A" w:rsidR="00803BF2" w:rsidRDefault="00803BF2">
            <w:r>
              <w:t>Several delegations provided feedback on the formulations:</w:t>
            </w:r>
          </w:p>
          <w:p w14:paraId="11700F97" w14:textId="77777777" w:rsidR="00803BF2" w:rsidRDefault="00803BF2"/>
          <w:p w14:paraId="24101010" w14:textId="28E23286" w:rsidR="0009164E" w:rsidRDefault="00803BF2" w:rsidP="000D7EA9">
            <w:pPr>
              <w:pStyle w:val="ListParagraph"/>
              <w:numPr>
                <w:ilvl w:val="0"/>
                <w:numId w:val="12"/>
              </w:numPr>
            </w:pPr>
            <w:r>
              <w:lastRenderedPageBreak/>
              <w:t xml:space="preserve">Four delegations expressed a </w:t>
            </w:r>
            <w:r w:rsidR="00CA5288">
              <w:t xml:space="preserve">general </w:t>
            </w:r>
            <w:r>
              <w:t>preference for “</w:t>
            </w:r>
            <w:r w:rsidR="00404848">
              <w:t>organizations</w:t>
            </w:r>
            <w:r>
              <w:t xml:space="preserve">” over “stakeholders”, noting that “stakeholders” </w:t>
            </w:r>
            <w:r w:rsidR="008B5EAA">
              <w:t>is</w:t>
            </w:r>
            <w:r>
              <w:t xml:space="preserve"> too broad a term and could potentially be misleading or</w:t>
            </w:r>
            <w:r w:rsidRPr="001353ED">
              <w:t xml:space="preserve"> duplicative of “operators of submarine cables or pipelines.”</w:t>
            </w:r>
            <w:r w:rsidR="0009164E">
              <w:t xml:space="preserve"> </w:t>
            </w:r>
          </w:p>
          <w:p w14:paraId="4B461B94" w14:textId="77777777" w:rsidR="0009164E" w:rsidRDefault="0009164E" w:rsidP="0009164E">
            <w:pPr>
              <w:pStyle w:val="ListParagraph"/>
              <w:ind w:left="360"/>
            </w:pPr>
          </w:p>
          <w:p w14:paraId="3EB6E32A" w14:textId="3348692F" w:rsidR="0009164E" w:rsidRDefault="0009164E" w:rsidP="000D7EA9">
            <w:pPr>
              <w:pStyle w:val="ListParagraph"/>
              <w:numPr>
                <w:ilvl w:val="0"/>
                <w:numId w:val="12"/>
              </w:numPr>
            </w:pPr>
            <w:r>
              <w:t>As for what should precede “</w:t>
            </w:r>
            <w:r w:rsidR="00404848">
              <w:t>organizations</w:t>
            </w:r>
            <w:r>
              <w:t>”:</w:t>
            </w:r>
          </w:p>
          <w:p w14:paraId="0935949C" w14:textId="77777777" w:rsidR="0009164E" w:rsidRDefault="0009164E" w:rsidP="0009164E">
            <w:pPr>
              <w:pStyle w:val="ListParagraph"/>
            </w:pPr>
          </w:p>
          <w:p w14:paraId="363A5921" w14:textId="3905957B" w:rsidR="0009164E" w:rsidRDefault="0009164E" w:rsidP="000D7EA9">
            <w:pPr>
              <w:pStyle w:val="ListParagraph"/>
              <w:numPr>
                <w:ilvl w:val="1"/>
                <w:numId w:val="12"/>
              </w:numPr>
            </w:pPr>
            <w:r>
              <w:t>One delegation supported “</w:t>
            </w:r>
            <w:r w:rsidRPr="0009164E">
              <w:rPr>
                <w:b/>
                <w:bCs/>
              </w:rPr>
              <w:t xml:space="preserve">responsible </w:t>
            </w:r>
            <w:r w:rsidR="00404848">
              <w:rPr>
                <w:b/>
                <w:bCs/>
              </w:rPr>
              <w:t>organizations</w:t>
            </w:r>
            <w:r>
              <w:t>” but noted that it would be helpful to include an explanation of the term.</w:t>
            </w:r>
          </w:p>
          <w:p w14:paraId="7A0308E4" w14:textId="77777777" w:rsidR="0009164E" w:rsidRDefault="0009164E" w:rsidP="005221DF"/>
          <w:p w14:paraId="4D68025E" w14:textId="043792CF" w:rsidR="00803BF2" w:rsidRDefault="0009164E" w:rsidP="000D7EA9">
            <w:pPr>
              <w:pStyle w:val="ListParagraph"/>
              <w:numPr>
                <w:ilvl w:val="1"/>
                <w:numId w:val="12"/>
              </w:numPr>
            </w:pPr>
            <w:r>
              <w:t xml:space="preserve">One delegation </w:t>
            </w:r>
            <w:r w:rsidR="00404848">
              <w:t>suggested</w:t>
            </w:r>
            <w:r>
              <w:t xml:space="preserve"> “</w:t>
            </w:r>
            <w:r w:rsidRPr="0009164E">
              <w:rPr>
                <w:b/>
                <w:bCs/>
              </w:rPr>
              <w:t xml:space="preserve">representative </w:t>
            </w:r>
            <w:r w:rsidR="00404848">
              <w:rPr>
                <w:b/>
                <w:bCs/>
              </w:rPr>
              <w:t>organizations</w:t>
            </w:r>
            <w:r>
              <w:t xml:space="preserve">”, noting that “responsible </w:t>
            </w:r>
            <w:r w:rsidR="00404848">
              <w:t>organization</w:t>
            </w:r>
            <w:r>
              <w:t>” would not be an appropriate way to refer to the ICPC as the ICPC cannot bind its members legally or take responsibility for them.</w:t>
            </w:r>
          </w:p>
          <w:p w14:paraId="0427C2B9" w14:textId="77777777" w:rsidR="005221DF" w:rsidRDefault="005221DF" w:rsidP="005221DF">
            <w:pPr>
              <w:pStyle w:val="ListParagraph"/>
            </w:pPr>
          </w:p>
          <w:p w14:paraId="079BEEE0" w14:textId="060B0B3E" w:rsidR="005221DF" w:rsidRDefault="005221DF" w:rsidP="005221DF">
            <w:pPr>
              <w:pStyle w:val="ListParagraph"/>
              <w:numPr>
                <w:ilvl w:val="1"/>
                <w:numId w:val="12"/>
              </w:numPr>
            </w:pPr>
            <w:r>
              <w:t>Two delegations proposed “</w:t>
            </w:r>
            <w:r w:rsidRPr="0009164E">
              <w:rPr>
                <w:b/>
                <w:bCs/>
              </w:rPr>
              <w:t xml:space="preserve">relevant </w:t>
            </w:r>
            <w:r w:rsidR="00404848">
              <w:rPr>
                <w:b/>
                <w:bCs/>
              </w:rPr>
              <w:t>organizations</w:t>
            </w:r>
            <w:r w:rsidRPr="0009164E">
              <w:t>”</w:t>
            </w:r>
            <w:r>
              <w:t>.</w:t>
            </w:r>
          </w:p>
          <w:p w14:paraId="033AC158" w14:textId="77777777" w:rsidR="0009164E" w:rsidRDefault="0009164E" w:rsidP="0009164E">
            <w:pPr>
              <w:pStyle w:val="ListParagraph"/>
              <w:ind w:left="360"/>
            </w:pPr>
          </w:p>
          <w:p w14:paraId="0242DD62" w14:textId="62E28F5E" w:rsidR="0009164E" w:rsidRDefault="0009164E" w:rsidP="000D7EA9">
            <w:pPr>
              <w:pStyle w:val="ListParagraph"/>
              <w:numPr>
                <w:ilvl w:val="0"/>
                <w:numId w:val="12"/>
              </w:numPr>
            </w:pPr>
            <w:r>
              <w:t>One delegation</w:t>
            </w:r>
            <w:r w:rsidR="000D7EA9">
              <w:t xml:space="preserve"> proposed the following language: </w:t>
            </w:r>
            <w:r w:rsidR="000D7EA9" w:rsidRPr="00E9001F">
              <w:rPr>
                <w:i/>
                <w:iCs/>
                <w:lang w:val="it-IT"/>
              </w:rPr>
              <w:t>“Coordinating with the operators of submarine cables or pipelines, and, where appropriate, with relevant organizations such as the International Cable Protection Committee (ICPC) or other competent international, regional or sectoral bodies.”</w:t>
            </w:r>
          </w:p>
          <w:p w14:paraId="370FDFF0" w14:textId="77777777" w:rsidR="0009164E" w:rsidRDefault="0009164E" w:rsidP="0009164E">
            <w:pPr>
              <w:pStyle w:val="ListParagraph"/>
              <w:ind w:left="360"/>
            </w:pPr>
          </w:p>
          <w:p w14:paraId="73228838" w14:textId="6E39C179" w:rsidR="00DB40B5" w:rsidRDefault="00803BF2" w:rsidP="00DB40B5">
            <w:pPr>
              <w:pStyle w:val="ListParagraph"/>
              <w:numPr>
                <w:ilvl w:val="0"/>
                <w:numId w:val="12"/>
              </w:numPr>
            </w:pPr>
            <w:r>
              <w:t>One delegation expressed a preference for “</w:t>
            </w:r>
            <w:r w:rsidR="00CA5288" w:rsidRPr="00CA5288">
              <w:rPr>
                <w:b/>
                <w:bCs/>
              </w:rPr>
              <w:t>relevant Stakeholders</w:t>
            </w:r>
            <w:r w:rsidR="00CA5288">
              <w:t xml:space="preserve">” (with “s” capitalised to follow the definition of this term in the </w:t>
            </w:r>
            <w:r w:rsidR="00DB40B5">
              <w:t xml:space="preserve">Schedule) over “responsible </w:t>
            </w:r>
            <w:r w:rsidR="00404848">
              <w:t>organization</w:t>
            </w:r>
            <w:r w:rsidR="00DB40B5">
              <w:t>”</w:t>
            </w:r>
            <w:r w:rsidR="00CA5288">
              <w:t xml:space="preserve"> which is sufficiently broad </w:t>
            </w:r>
            <w:r w:rsidR="00DB40B5">
              <w:t xml:space="preserve">to encompass </w:t>
            </w:r>
            <w:r w:rsidR="00404848">
              <w:t>organizations</w:t>
            </w:r>
            <w:r w:rsidR="00DB40B5">
              <w:t xml:space="preserve"> such as the ICPC.  </w:t>
            </w:r>
          </w:p>
          <w:p w14:paraId="57641DC7" w14:textId="3E8B1B4C" w:rsidR="00DB40B5" w:rsidRDefault="00DB40B5" w:rsidP="00DB40B5"/>
        </w:tc>
        <w:tc>
          <w:tcPr>
            <w:tcW w:w="6237" w:type="dxa"/>
            <w:shd w:val="clear" w:color="auto" w:fill="DAE9F7" w:themeFill="text2" w:themeFillTint="1A"/>
          </w:tcPr>
          <w:p w14:paraId="5B34EEF3" w14:textId="7FFA0462" w:rsidR="00B1057C" w:rsidRDefault="00B1057C">
            <w:r>
              <w:lastRenderedPageBreak/>
              <w:t>Having considered all inputs, we propose the language “</w:t>
            </w:r>
            <w:r w:rsidRPr="00B1057C">
              <w:rPr>
                <w:b/>
                <w:bCs/>
              </w:rPr>
              <w:t>relevant Stakeholders and international, regional or sectoral bodies for</w:t>
            </w:r>
            <w:r>
              <w:t>”.</w:t>
            </w:r>
          </w:p>
          <w:p w14:paraId="25F12B52" w14:textId="77777777" w:rsidR="00B1057C" w:rsidRDefault="00B1057C"/>
          <w:p w14:paraId="1805E985" w14:textId="37614A3E" w:rsidR="00B1057C" w:rsidRDefault="00B1057C" w:rsidP="00B1057C">
            <w:pPr>
              <w:pStyle w:val="ListParagraph"/>
              <w:numPr>
                <w:ilvl w:val="0"/>
                <w:numId w:val="5"/>
              </w:numPr>
            </w:pPr>
            <w:r>
              <w:t>On the use of “Stakeholders” over “organizations”:</w:t>
            </w:r>
          </w:p>
          <w:p w14:paraId="60DA6563" w14:textId="77777777" w:rsidR="00764FDC" w:rsidRDefault="00764FDC" w:rsidP="00764FDC">
            <w:pPr>
              <w:pStyle w:val="ListParagraph"/>
              <w:ind w:left="360"/>
            </w:pPr>
          </w:p>
          <w:p w14:paraId="65AA5679" w14:textId="44CB0493" w:rsidR="00B1057C" w:rsidRDefault="00B1057C" w:rsidP="00B1057C">
            <w:pPr>
              <w:pStyle w:val="ListParagraph"/>
              <w:numPr>
                <w:ilvl w:val="1"/>
                <w:numId w:val="5"/>
              </w:numPr>
            </w:pPr>
            <w:r>
              <w:t xml:space="preserve">We have adopted the suggestion in (4) to use </w:t>
            </w:r>
            <w:r w:rsidR="00764FDC">
              <w:t xml:space="preserve">“Stakeholders” with a capitalised “s” to follow the </w:t>
            </w:r>
            <w:r w:rsidR="00764FDC">
              <w:lastRenderedPageBreak/>
              <w:t>definition of this term in the Schedule. We agree that this definition is sufficiently broad to encompass organizations such as the ICPC.</w:t>
            </w:r>
          </w:p>
          <w:p w14:paraId="370D04AB" w14:textId="77777777" w:rsidR="00764FDC" w:rsidRDefault="00764FDC" w:rsidP="00764FDC">
            <w:pPr>
              <w:pStyle w:val="ListParagraph"/>
              <w:ind w:left="1080"/>
            </w:pPr>
          </w:p>
          <w:p w14:paraId="23EA1B43" w14:textId="5C59BFAE" w:rsidR="00764FDC" w:rsidRDefault="00764FDC" w:rsidP="00B1057C">
            <w:pPr>
              <w:pStyle w:val="ListParagraph"/>
              <w:numPr>
                <w:ilvl w:val="1"/>
                <w:numId w:val="5"/>
              </w:numPr>
            </w:pPr>
            <w:r>
              <w:t>We note that there may still be some ambiguity in the term “organizations” insofar as “organizations” in other parts of the draft regulations only refer to intergovernmental organisations.</w:t>
            </w:r>
          </w:p>
          <w:p w14:paraId="2894E8ED" w14:textId="77777777" w:rsidR="00764FDC" w:rsidRDefault="00764FDC" w:rsidP="00764FDC">
            <w:pPr>
              <w:pStyle w:val="ListParagraph"/>
            </w:pPr>
          </w:p>
          <w:p w14:paraId="7DE6821A" w14:textId="0B889E7D" w:rsidR="00FF7D16" w:rsidRDefault="00FF7D16" w:rsidP="00764FDC">
            <w:pPr>
              <w:pStyle w:val="ListParagraph"/>
              <w:numPr>
                <w:ilvl w:val="0"/>
                <w:numId w:val="5"/>
              </w:numPr>
            </w:pPr>
            <w:r>
              <w:t>We have loosely adapted the language proposed in (3) with some key modifications:</w:t>
            </w:r>
          </w:p>
          <w:p w14:paraId="686864AB" w14:textId="77777777" w:rsidR="0097436D" w:rsidRDefault="0097436D" w:rsidP="0097436D">
            <w:pPr>
              <w:pStyle w:val="ListParagraph"/>
              <w:ind w:left="360"/>
            </w:pPr>
          </w:p>
          <w:p w14:paraId="648FCB39" w14:textId="72AC8870" w:rsidR="0097436D" w:rsidRDefault="0097436D" w:rsidP="00FF7D16">
            <w:pPr>
              <w:pStyle w:val="ListParagraph"/>
              <w:numPr>
                <w:ilvl w:val="1"/>
                <w:numId w:val="5"/>
              </w:numPr>
            </w:pPr>
            <w:r>
              <w:t>Replaced “organizations” with “Stakeholders” as explained above.</w:t>
            </w:r>
          </w:p>
          <w:p w14:paraId="365E4BAA" w14:textId="77777777" w:rsidR="0097436D" w:rsidRDefault="0097436D" w:rsidP="0097436D">
            <w:pPr>
              <w:pStyle w:val="ListParagraph"/>
              <w:ind w:left="1080"/>
            </w:pPr>
          </w:p>
          <w:p w14:paraId="36D72F4A" w14:textId="47102FAC" w:rsidR="00E9001F" w:rsidRDefault="0097436D" w:rsidP="0097436D">
            <w:pPr>
              <w:pStyle w:val="ListParagraph"/>
              <w:numPr>
                <w:ilvl w:val="1"/>
                <w:numId w:val="5"/>
              </w:numPr>
            </w:pPr>
            <w:r>
              <w:t>Removed the reference to the ICPC as we do not think it is necessary to specifically list any organization as an example.</w:t>
            </w:r>
          </w:p>
        </w:tc>
      </w:tr>
      <w:tr w:rsidR="00CA5288" w14:paraId="10F3CA06" w14:textId="77777777" w:rsidTr="00CA5288">
        <w:tc>
          <w:tcPr>
            <w:tcW w:w="2268" w:type="dxa"/>
            <w:shd w:val="clear" w:color="auto" w:fill="FFFFFF" w:themeFill="background1"/>
          </w:tcPr>
          <w:p w14:paraId="6FD482AB" w14:textId="77777777" w:rsidR="00CA5288" w:rsidRDefault="00CA5288">
            <w:r>
              <w:lastRenderedPageBreak/>
              <w:t>Sub-para(a):</w:t>
            </w:r>
          </w:p>
          <w:p w14:paraId="07C896BF" w14:textId="77777777" w:rsidR="00CA5288" w:rsidRDefault="00CA5288">
            <w:r>
              <w:lastRenderedPageBreak/>
              <w:t>Editorial comments</w:t>
            </w:r>
          </w:p>
          <w:p w14:paraId="5B9E4A7D" w14:textId="148E5110" w:rsidR="006B3F23" w:rsidRDefault="006B3F23"/>
        </w:tc>
        <w:tc>
          <w:tcPr>
            <w:tcW w:w="6521" w:type="dxa"/>
            <w:shd w:val="clear" w:color="auto" w:fill="FFFFFF" w:themeFill="background1"/>
          </w:tcPr>
          <w:p w14:paraId="66BFC237" w14:textId="42A250F1" w:rsidR="00CA5288" w:rsidRDefault="00CA5288">
            <w:r>
              <w:lastRenderedPageBreak/>
              <w:t>A delegation suggested deleting “the” after “Coordinating with”.</w:t>
            </w:r>
          </w:p>
          <w:p w14:paraId="629C80EA" w14:textId="73F5304A" w:rsidR="00CA5288" w:rsidRPr="00CA5288" w:rsidRDefault="00CA5288"/>
        </w:tc>
        <w:tc>
          <w:tcPr>
            <w:tcW w:w="6237" w:type="dxa"/>
            <w:shd w:val="clear" w:color="auto" w:fill="FFFFFF" w:themeFill="background1"/>
          </w:tcPr>
          <w:p w14:paraId="290A733E" w14:textId="5752B32D" w:rsidR="00CA5288" w:rsidRDefault="00CA5288">
            <w:r>
              <w:lastRenderedPageBreak/>
              <w:t>Agree, incorporated in</w:t>
            </w:r>
            <w:r w:rsidR="00B1057C">
              <w:t>to</w:t>
            </w:r>
            <w:r>
              <w:t xml:space="preserve"> the Rev. 2 proposal.</w:t>
            </w:r>
          </w:p>
        </w:tc>
      </w:tr>
      <w:tr w:rsidR="00C87D5A" w14:paraId="65E11B88" w14:textId="77777777" w:rsidTr="00CA5288">
        <w:tc>
          <w:tcPr>
            <w:tcW w:w="2268" w:type="dxa"/>
          </w:tcPr>
          <w:p w14:paraId="4B614E7A" w14:textId="77777777" w:rsidR="00C87D5A" w:rsidRDefault="003F6ECB">
            <w:r>
              <w:t>Sub-para(a):</w:t>
            </w:r>
          </w:p>
          <w:p w14:paraId="6F9DE315" w14:textId="4C8A62E2" w:rsidR="003F6ECB" w:rsidRDefault="003F6ECB">
            <w:r>
              <w:t>Addition of reference to Regulation 93 bis</w:t>
            </w:r>
          </w:p>
        </w:tc>
        <w:tc>
          <w:tcPr>
            <w:tcW w:w="6521" w:type="dxa"/>
          </w:tcPr>
          <w:p w14:paraId="2B27269A" w14:textId="49ACE768" w:rsidR="00C87D5A" w:rsidRDefault="003F6ECB">
            <w:r>
              <w:t xml:space="preserve">Two delegations expressed support for </w:t>
            </w:r>
            <w:r w:rsidR="000714CE">
              <w:t>the addition of this reference which was proposed by the FOP to include some aspects of Mexico’s proposed DR 31 bis alt.</w:t>
            </w:r>
          </w:p>
          <w:p w14:paraId="171D8528" w14:textId="2D25F103" w:rsidR="000714CE" w:rsidRDefault="000714CE"/>
        </w:tc>
        <w:tc>
          <w:tcPr>
            <w:tcW w:w="6237" w:type="dxa"/>
          </w:tcPr>
          <w:p w14:paraId="628A11FE" w14:textId="633F9F40" w:rsidR="00C87D5A" w:rsidRDefault="00803BF2" w:rsidP="0063454D">
            <w:r>
              <w:t>We have lifted the square brackets around this addition in the Rev. 2 proposal.</w:t>
            </w:r>
          </w:p>
        </w:tc>
      </w:tr>
      <w:tr w:rsidR="000714CE" w14:paraId="4E739133" w14:textId="77777777" w:rsidTr="00CA5288">
        <w:tc>
          <w:tcPr>
            <w:tcW w:w="2268" w:type="dxa"/>
          </w:tcPr>
          <w:p w14:paraId="3F08E622" w14:textId="77777777" w:rsidR="000714CE" w:rsidRDefault="000714CE">
            <w:r>
              <w:t>Sub-para(b):</w:t>
            </w:r>
          </w:p>
          <w:p w14:paraId="6D2F8EC5" w14:textId="6BCA2A20" w:rsidR="000714CE" w:rsidRDefault="000714CE">
            <w:r>
              <w:t>Editorial comments</w:t>
            </w:r>
          </w:p>
        </w:tc>
        <w:tc>
          <w:tcPr>
            <w:tcW w:w="6521" w:type="dxa"/>
          </w:tcPr>
          <w:p w14:paraId="62031CA2" w14:textId="67205FE8" w:rsidR="000714CE" w:rsidRDefault="000714CE">
            <w:pPr>
              <w:rPr>
                <w:lang w:val="en-GB"/>
              </w:rPr>
            </w:pPr>
            <w:r>
              <w:rPr>
                <w:lang w:val="en-GB"/>
              </w:rPr>
              <w:t xml:space="preserve">A delegation suggested that the </w:t>
            </w:r>
            <w:r w:rsidRPr="00DB40B5">
              <w:rPr>
                <w:lang w:val="en-GB"/>
              </w:rPr>
              <w:t>drafting</w:t>
            </w:r>
            <w:r>
              <w:rPr>
                <w:lang w:val="en-GB"/>
              </w:rPr>
              <w:t xml:space="preserve"> of this sub-para</w:t>
            </w:r>
            <w:r w:rsidRPr="00DB40B5">
              <w:rPr>
                <w:lang w:val="en-GB"/>
              </w:rPr>
              <w:t xml:space="preserve"> could be simplified to “Complying with measures the Contractor has agreed with the operators …” (i.e. delete “the” and “that”).</w:t>
            </w:r>
          </w:p>
          <w:p w14:paraId="5485006B" w14:textId="7203FE5B" w:rsidR="000714CE" w:rsidRDefault="000714CE"/>
        </w:tc>
        <w:tc>
          <w:tcPr>
            <w:tcW w:w="6237" w:type="dxa"/>
          </w:tcPr>
          <w:p w14:paraId="0D6DF598" w14:textId="064A956E" w:rsidR="000714CE" w:rsidRDefault="0063454D">
            <w:r>
              <w:t>Agree, incorporated in</w:t>
            </w:r>
            <w:r w:rsidR="00B1057C">
              <w:t>to</w:t>
            </w:r>
            <w:r>
              <w:t xml:space="preserve"> </w:t>
            </w:r>
            <w:r w:rsidR="00803BF2">
              <w:t xml:space="preserve">the </w:t>
            </w:r>
            <w:r>
              <w:t>Rev. 2 proposal.</w:t>
            </w:r>
          </w:p>
        </w:tc>
      </w:tr>
      <w:tr w:rsidR="002B3F2F" w14:paraId="3CD3F221" w14:textId="77777777" w:rsidTr="00FA1F9E">
        <w:tc>
          <w:tcPr>
            <w:tcW w:w="2268" w:type="dxa"/>
            <w:shd w:val="clear" w:color="auto" w:fill="FFFFFF" w:themeFill="background1"/>
          </w:tcPr>
          <w:p w14:paraId="1E1B1C18" w14:textId="77777777" w:rsidR="002B3F2F" w:rsidRDefault="000714CE">
            <w:r w:rsidRPr="00BE4B1F">
              <w:t>Sub-para(d):</w:t>
            </w:r>
          </w:p>
          <w:p w14:paraId="6F9642AB" w14:textId="1977EA63" w:rsidR="00FA1F9E" w:rsidRPr="00BE4B1F" w:rsidRDefault="00FA1F9E">
            <w:r>
              <w:t>Removal of point on “coordination”</w:t>
            </w:r>
          </w:p>
          <w:p w14:paraId="6163BBD1" w14:textId="7AAEB233" w:rsidR="000714CE" w:rsidRPr="00BE4B1F" w:rsidRDefault="000714CE"/>
        </w:tc>
        <w:tc>
          <w:tcPr>
            <w:tcW w:w="6521" w:type="dxa"/>
            <w:shd w:val="clear" w:color="auto" w:fill="FFFFFF" w:themeFill="background1"/>
          </w:tcPr>
          <w:p w14:paraId="41ABE743" w14:textId="01934DFE" w:rsidR="00FA1F9E" w:rsidRDefault="00FA1F9E" w:rsidP="002B3F2F">
            <w:r>
              <w:t xml:space="preserve">A delegation expressed reservations on this sub-para as they are of the view that </w:t>
            </w:r>
            <w:r w:rsidRPr="00BE4B1F">
              <w:rPr>
                <w:bCs/>
                <w:lang w:val="en-US"/>
              </w:rPr>
              <w:t>promoting information sharing and coordination of Exploitation activities is</w:t>
            </w:r>
            <w:r>
              <w:rPr>
                <w:bCs/>
                <w:lang w:val="en-US"/>
              </w:rPr>
              <w:t xml:space="preserve"> a task of the Authority. The delegation can accept the inclusion of “promoting information sharing” but considers that “coordination” should be removed as it is a repetition of sub-para(a).</w:t>
            </w:r>
          </w:p>
          <w:p w14:paraId="4A2920AF" w14:textId="66B5908C" w:rsidR="002B3F2F" w:rsidRPr="00BE4B1F" w:rsidRDefault="002B3F2F" w:rsidP="00FA1F9E"/>
        </w:tc>
        <w:tc>
          <w:tcPr>
            <w:tcW w:w="6237" w:type="dxa"/>
            <w:shd w:val="clear" w:color="auto" w:fill="FFFFFF" w:themeFill="background1"/>
          </w:tcPr>
          <w:p w14:paraId="26D7B8A9" w14:textId="409AC361" w:rsidR="002B3F2F" w:rsidRDefault="004307E6">
            <w:r>
              <w:t xml:space="preserve">We understand the concerns and have removed the point on “coordination” from the </w:t>
            </w:r>
            <w:r w:rsidR="00FA1F9E">
              <w:t>Rev. 2 proposal.</w:t>
            </w:r>
          </w:p>
        </w:tc>
      </w:tr>
      <w:tr w:rsidR="009D1098" w14:paraId="27A55686" w14:textId="77777777" w:rsidTr="006A3A08">
        <w:tc>
          <w:tcPr>
            <w:tcW w:w="2268" w:type="dxa"/>
            <w:shd w:val="clear" w:color="auto" w:fill="DAE9F7" w:themeFill="text2" w:themeFillTint="1A"/>
          </w:tcPr>
          <w:p w14:paraId="24EC5C69" w14:textId="2ADBE287" w:rsidR="00804D0F" w:rsidRDefault="00804D0F" w:rsidP="009D1098">
            <w:r>
              <w:t>Para 2:</w:t>
            </w:r>
          </w:p>
          <w:p w14:paraId="5D2A21E3" w14:textId="3016ACFE" w:rsidR="009D1098" w:rsidRPr="00BE4B1F" w:rsidRDefault="00BE4B1F" w:rsidP="009D1098">
            <w:r w:rsidRPr="00BE4B1F">
              <w:t xml:space="preserve">Proposed addition of references to UNCLOS obligations on States </w:t>
            </w:r>
            <w:proofErr w:type="gramStart"/>
            <w:r w:rsidRPr="00BE4B1F">
              <w:t>with regard to</w:t>
            </w:r>
            <w:proofErr w:type="gramEnd"/>
            <w:r w:rsidRPr="00BE4B1F">
              <w:t xml:space="preserve"> submarine cables and pipelines</w:t>
            </w:r>
          </w:p>
        </w:tc>
        <w:tc>
          <w:tcPr>
            <w:tcW w:w="6521" w:type="dxa"/>
            <w:shd w:val="clear" w:color="auto" w:fill="DAE9F7" w:themeFill="text2" w:themeFillTint="1A"/>
          </w:tcPr>
          <w:p w14:paraId="27C3AA22" w14:textId="26DB0072" w:rsidR="009D1098" w:rsidRPr="006B3F23" w:rsidRDefault="00BE4B1F" w:rsidP="00BE4B1F">
            <w:pPr>
              <w:rPr>
                <w:lang w:val="en-US"/>
              </w:rPr>
            </w:pPr>
            <w:r w:rsidRPr="00BE4B1F">
              <w:rPr>
                <w:lang w:val="en-TT"/>
              </w:rPr>
              <w:t>A delegation suggested the addition of a paragraph, “</w:t>
            </w:r>
            <w:r w:rsidRPr="00BE4B1F">
              <w:rPr>
                <w:i/>
                <w:iCs/>
                <w:lang w:val="en-US"/>
              </w:rPr>
              <w:t>Consistent with the United Nations Convention on the Law of the Sea, particularly its articles 87, 112 and 113, nothing in these regulations shall be interpreted as modifying the obligations of State as to submarine cables and pipelines</w:t>
            </w:r>
            <w:r w:rsidRPr="00BE4B1F">
              <w:rPr>
                <w:lang w:val="en-US"/>
              </w:rPr>
              <w:t xml:space="preserve">.” The intention is to </w:t>
            </w:r>
            <w:proofErr w:type="spellStart"/>
            <w:r w:rsidRPr="00BE4B1F">
              <w:rPr>
                <w:lang w:val="en-US"/>
              </w:rPr>
              <w:t>emphasise</w:t>
            </w:r>
            <w:proofErr w:type="spellEnd"/>
            <w:r w:rsidRPr="00BE4B1F">
              <w:rPr>
                <w:lang w:val="en-US"/>
              </w:rPr>
              <w:t xml:space="preserve"> </w:t>
            </w:r>
            <w:r w:rsidRPr="00BE4B1F">
              <w:rPr>
                <w:lang w:val="en-TT"/>
              </w:rPr>
              <w:t>the fact that States are still subject to UNCLOS obligations related to CUI and that the rights that private persons may have in the matter only flow from the will of States.</w:t>
            </w:r>
          </w:p>
          <w:p w14:paraId="3462F5C1" w14:textId="39DBF4C6" w:rsidR="00BE4B1F" w:rsidRPr="00BE4B1F" w:rsidRDefault="00BE4B1F" w:rsidP="00BE4B1F"/>
        </w:tc>
        <w:tc>
          <w:tcPr>
            <w:tcW w:w="6237" w:type="dxa"/>
            <w:shd w:val="clear" w:color="auto" w:fill="DAE9F7" w:themeFill="text2" w:themeFillTint="1A"/>
          </w:tcPr>
          <w:p w14:paraId="37392AA0" w14:textId="31FD7719" w:rsidR="00804D0F" w:rsidRDefault="00804D0F" w:rsidP="009D1098">
            <w:r>
              <w:t>We understand the intention and have included the proposal with editorial edits as a new para 2 for consideration</w:t>
            </w:r>
            <w:r w:rsidR="008B5EAA">
              <w:t>:</w:t>
            </w:r>
          </w:p>
          <w:p w14:paraId="71DD137E" w14:textId="77777777" w:rsidR="008B5EAA" w:rsidRDefault="008B5EAA" w:rsidP="009D1098"/>
          <w:p w14:paraId="78A5F492" w14:textId="7387A72E" w:rsidR="008B5EAA" w:rsidRPr="00957805" w:rsidRDefault="008B5EAA" w:rsidP="009D1098">
            <w:pPr>
              <w:rPr>
                <w:b/>
                <w:bCs/>
                <w:i/>
                <w:iCs/>
              </w:rPr>
            </w:pPr>
            <w:r w:rsidRPr="00957805">
              <w:rPr>
                <w:b/>
                <w:bCs/>
                <w:i/>
                <w:iCs/>
              </w:rPr>
              <w:t>“Nothing in these Regulations shall affect the rights and obligations of States pertaining to submarine cables and pipelines under the Convention, including Articles 87, 112 and 113 of the Convention.”</w:t>
            </w:r>
          </w:p>
          <w:p w14:paraId="537AC35B" w14:textId="76200A41" w:rsidR="009D1098" w:rsidRDefault="009D1098" w:rsidP="009D1098"/>
        </w:tc>
      </w:tr>
    </w:tbl>
    <w:p w14:paraId="7F51D9F4" w14:textId="77777777" w:rsidR="00C87D5A" w:rsidRDefault="00C87D5A"/>
    <w:sectPr w:rsidR="00C87D5A" w:rsidSect="00B74650">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95FF" w14:textId="77777777" w:rsidR="00C11A7A" w:rsidRDefault="00C11A7A" w:rsidP="002B040D">
      <w:pPr>
        <w:spacing w:after="0" w:line="240" w:lineRule="auto"/>
      </w:pPr>
      <w:r>
        <w:separator/>
      </w:r>
    </w:p>
  </w:endnote>
  <w:endnote w:type="continuationSeparator" w:id="0">
    <w:p w14:paraId="34379611" w14:textId="77777777" w:rsidR="00C11A7A" w:rsidRDefault="00C11A7A" w:rsidP="002B0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79B8" w14:textId="77777777" w:rsidR="00B861E1" w:rsidRDefault="00B86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602D1" w14:textId="77777777" w:rsidR="00B861E1" w:rsidRDefault="00B861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8E22A" w14:textId="77777777" w:rsidR="00B861E1" w:rsidRDefault="00B86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1453B" w14:textId="77777777" w:rsidR="00C11A7A" w:rsidRDefault="00C11A7A" w:rsidP="002B040D">
      <w:pPr>
        <w:spacing w:after="0" w:line="240" w:lineRule="auto"/>
      </w:pPr>
      <w:r>
        <w:separator/>
      </w:r>
    </w:p>
  </w:footnote>
  <w:footnote w:type="continuationSeparator" w:id="0">
    <w:p w14:paraId="756CF6CA" w14:textId="77777777" w:rsidR="00C11A7A" w:rsidRDefault="00C11A7A" w:rsidP="002B0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EE15" w14:textId="77777777" w:rsidR="00B861E1" w:rsidRDefault="00B86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9CCA5" w14:textId="2CFDDA4B" w:rsidR="002B040D" w:rsidRPr="002B040D" w:rsidRDefault="002B040D" w:rsidP="00957805">
    <w:pPr>
      <w:spacing w:after="0"/>
      <w:ind w:left="-567" w:right="-501"/>
      <w:rPr>
        <w:i/>
        <w:iCs/>
        <w:lang w:val="en-TT"/>
      </w:rPr>
    </w:pPr>
    <w:r w:rsidRPr="0070227C">
      <w:rPr>
        <w:i/>
        <w:iCs/>
        <w:lang w:val="en-TT"/>
      </w:rPr>
      <w:t xml:space="preserve">Friends of the President </w:t>
    </w:r>
    <w:r>
      <w:rPr>
        <w:i/>
        <w:iCs/>
        <w:lang w:val="en-TT"/>
      </w:rPr>
      <w:t>Group</w:t>
    </w:r>
    <w:r w:rsidRPr="0070227C">
      <w:rPr>
        <w:i/>
        <w:iCs/>
        <w:lang w:val="en-TT"/>
      </w:rPr>
      <w:t xml:space="preserve"> on Protection of Submarine Cables and Pipelines</w:t>
    </w:r>
    <w:r>
      <w:rPr>
        <w:i/>
        <w:iCs/>
        <w:lang w:val="en-TT"/>
      </w:rPr>
      <w:tab/>
    </w:r>
    <w:r>
      <w:rPr>
        <w:i/>
        <w:iCs/>
        <w:lang w:val="en-TT"/>
      </w:rPr>
      <w:tab/>
    </w:r>
    <w:r>
      <w:rPr>
        <w:i/>
        <w:iCs/>
        <w:lang w:val="en-TT"/>
      </w:rPr>
      <w:tab/>
    </w:r>
    <w:r>
      <w:rPr>
        <w:i/>
        <w:iCs/>
        <w:lang w:val="en-TT"/>
      </w:rPr>
      <w:tab/>
    </w:r>
    <w:r>
      <w:rPr>
        <w:i/>
        <w:iCs/>
        <w:lang w:val="en-TT"/>
      </w:rPr>
      <w:tab/>
    </w:r>
    <w:r>
      <w:rPr>
        <w:i/>
        <w:iCs/>
        <w:lang w:val="en-TT"/>
      </w:rPr>
      <w:tab/>
      <w:t>Prepared by Singapore, 2</w:t>
    </w:r>
    <w:r w:rsidR="00B861E1">
      <w:rPr>
        <w:i/>
        <w:iCs/>
        <w:lang w:val="en-TT"/>
      </w:rPr>
      <w:t>3</w:t>
    </w:r>
    <w:r>
      <w:rPr>
        <w:i/>
        <w:iCs/>
        <w:lang w:val="en-TT"/>
      </w:rPr>
      <w:t xml:space="preserve"> Nov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0488" w14:textId="77777777" w:rsidR="00B861E1" w:rsidRDefault="00B86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CDC"/>
    <w:multiLevelType w:val="hybridMultilevel"/>
    <w:tmpl w:val="8CCE5D76"/>
    <w:lvl w:ilvl="0" w:tplc="C4F48152">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06826910"/>
    <w:multiLevelType w:val="hybridMultilevel"/>
    <w:tmpl w:val="9578BCA4"/>
    <w:lvl w:ilvl="0" w:tplc="53CC31CC">
      <w:start w:val="1"/>
      <w:numFmt w:val="decimal"/>
      <w:lvlText w:val="%1."/>
      <w:lvlJc w:val="left"/>
      <w:pPr>
        <w:ind w:left="720" w:hanging="360"/>
      </w:pPr>
    </w:lvl>
    <w:lvl w:ilvl="1" w:tplc="CCEAC8E0">
      <w:start w:val="1"/>
      <w:numFmt w:val="decimal"/>
      <w:lvlText w:val="%2."/>
      <w:lvlJc w:val="left"/>
      <w:pPr>
        <w:ind w:left="720" w:hanging="360"/>
      </w:pPr>
    </w:lvl>
    <w:lvl w:ilvl="2" w:tplc="F3F4693C">
      <w:start w:val="1"/>
      <w:numFmt w:val="decimal"/>
      <w:lvlText w:val="%3."/>
      <w:lvlJc w:val="left"/>
      <w:pPr>
        <w:ind w:left="720" w:hanging="360"/>
      </w:pPr>
    </w:lvl>
    <w:lvl w:ilvl="3" w:tplc="C09E053E">
      <w:start w:val="1"/>
      <w:numFmt w:val="decimal"/>
      <w:lvlText w:val="%4."/>
      <w:lvlJc w:val="left"/>
      <w:pPr>
        <w:ind w:left="720" w:hanging="360"/>
      </w:pPr>
    </w:lvl>
    <w:lvl w:ilvl="4" w:tplc="5950DF6C">
      <w:start w:val="1"/>
      <w:numFmt w:val="decimal"/>
      <w:lvlText w:val="%5."/>
      <w:lvlJc w:val="left"/>
      <w:pPr>
        <w:ind w:left="720" w:hanging="360"/>
      </w:pPr>
    </w:lvl>
    <w:lvl w:ilvl="5" w:tplc="B69E81FE">
      <w:start w:val="1"/>
      <w:numFmt w:val="decimal"/>
      <w:lvlText w:val="%6."/>
      <w:lvlJc w:val="left"/>
      <w:pPr>
        <w:ind w:left="720" w:hanging="360"/>
      </w:pPr>
    </w:lvl>
    <w:lvl w:ilvl="6" w:tplc="8CD8AD94">
      <w:start w:val="1"/>
      <w:numFmt w:val="decimal"/>
      <w:lvlText w:val="%7."/>
      <w:lvlJc w:val="left"/>
      <w:pPr>
        <w:ind w:left="720" w:hanging="360"/>
      </w:pPr>
    </w:lvl>
    <w:lvl w:ilvl="7" w:tplc="841A7FC6">
      <w:start w:val="1"/>
      <w:numFmt w:val="decimal"/>
      <w:lvlText w:val="%8."/>
      <w:lvlJc w:val="left"/>
      <w:pPr>
        <w:ind w:left="720" w:hanging="360"/>
      </w:pPr>
    </w:lvl>
    <w:lvl w:ilvl="8" w:tplc="45507D3E">
      <w:start w:val="1"/>
      <w:numFmt w:val="decimal"/>
      <w:lvlText w:val="%9."/>
      <w:lvlJc w:val="left"/>
      <w:pPr>
        <w:ind w:left="720" w:hanging="360"/>
      </w:pPr>
    </w:lvl>
  </w:abstractNum>
  <w:abstractNum w:abstractNumId="2" w15:restartNumberingAfterBreak="0">
    <w:nsid w:val="08A01F72"/>
    <w:multiLevelType w:val="hybridMultilevel"/>
    <w:tmpl w:val="D7C40F88"/>
    <w:lvl w:ilvl="0" w:tplc="4809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A678DC"/>
    <w:multiLevelType w:val="hybridMultilevel"/>
    <w:tmpl w:val="DCA08DAE"/>
    <w:lvl w:ilvl="0" w:tplc="BC12A0CA">
      <w:start w:val="1"/>
      <w:numFmt w:val="decimal"/>
      <w:lvlText w:val="%1."/>
      <w:lvlJc w:val="left"/>
      <w:pPr>
        <w:ind w:left="1020" w:hanging="360"/>
      </w:pPr>
    </w:lvl>
    <w:lvl w:ilvl="1" w:tplc="06A07AF4">
      <w:start w:val="1"/>
      <w:numFmt w:val="decimal"/>
      <w:lvlText w:val="%2."/>
      <w:lvlJc w:val="left"/>
      <w:pPr>
        <w:ind w:left="1020" w:hanging="360"/>
      </w:pPr>
    </w:lvl>
    <w:lvl w:ilvl="2" w:tplc="5F14D8A4">
      <w:start w:val="1"/>
      <w:numFmt w:val="decimal"/>
      <w:lvlText w:val="%3."/>
      <w:lvlJc w:val="left"/>
      <w:pPr>
        <w:ind w:left="1020" w:hanging="360"/>
      </w:pPr>
    </w:lvl>
    <w:lvl w:ilvl="3" w:tplc="CEE4B1A2">
      <w:start w:val="1"/>
      <w:numFmt w:val="decimal"/>
      <w:lvlText w:val="%4."/>
      <w:lvlJc w:val="left"/>
      <w:pPr>
        <w:ind w:left="1020" w:hanging="360"/>
      </w:pPr>
    </w:lvl>
    <w:lvl w:ilvl="4" w:tplc="3274FE0A">
      <w:start w:val="1"/>
      <w:numFmt w:val="decimal"/>
      <w:lvlText w:val="%5."/>
      <w:lvlJc w:val="left"/>
      <w:pPr>
        <w:ind w:left="1020" w:hanging="360"/>
      </w:pPr>
    </w:lvl>
    <w:lvl w:ilvl="5" w:tplc="9392D896">
      <w:start w:val="1"/>
      <w:numFmt w:val="decimal"/>
      <w:lvlText w:val="%6."/>
      <w:lvlJc w:val="left"/>
      <w:pPr>
        <w:ind w:left="1020" w:hanging="360"/>
      </w:pPr>
    </w:lvl>
    <w:lvl w:ilvl="6" w:tplc="8746159E">
      <w:start w:val="1"/>
      <w:numFmt w:val="decimal"/>
      <w:lvlText w:val="%7."/>
      <w:lvlJc w:val="left"/>
      <w:pPr>
        <w:ind w:left="1020" w:hanging="360"/>
      </w:pPr>
    </w:lvl>
    <w:lvl w:ilvl="7" w:tplc="A66AC122">
      <w:start w:val="1"/>
      <w:numFmt w:val="decimal"/>
      <w:lvlText w:val="%8."/>
      <w:lvlJc w:val="left"/>
      <w:pPr>
        <w:ind w:left="1020" w:hanging="360"/>
      </w:pPr>
    </w:lvl>
    <w:lvl w:ilvl="8" w:tplc="EA789EEC">
      <w:start w:val="1"/>
      <w:numFmt w:val="decimal"/>
      <w:lvlText w:val="%9."/>
      <w:lvlJc w:val="left"/>
      <w:pPr>
        <w:ind w:left="1020" w:hanging="360"/>
      </w:pPr>
    </w:lvl>
  </w:abstractNum>
  <w:abstractNum w:abstractNumId="4" w15:restartNumberingAfterBreak="0">
    <w:nsid w:val="0A86788D"/>
    <w:multiLevelType w:val="multilevel"/>
    <w:tmpl w:val="20E67A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AC30EFE"/>
    <w:multiLevelType w:val="hybridMultilevel"/>
    <w:tmpl w:val="89A403BC"/>
    <w:lvl w:ilvl="0" w:tplc="4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CFB1CDE"/>
    <w:multiLevelType w:val="hybridMultilevel"/>
    <w:tmpl w:val="464E7FDC"/>
    <w:lvl w:ilvl="0" w:tplc="4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372CB2"/>
    <w:multiLevelType w:val="hybridMultilevel"/>
    <w:tmpl w:val="AC246ECC"/>
    <w:lvl w:ilvl="0" w:tplc="4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2004005"/>
    <w:multiLevelType w:val="hybridMultilevel"/>
    <w:tmpl w:val="699AA2C8"/>
    <w:lvl w:ilvl="0" w:tplc="FB883E88">
      <w:numFmt w:val="bullet"/>
      <w:lvlText w:val=""/>
      <w:lvlJc w:val="left"/>
      <w:pPr>
        <w:ind w:left="360" w:hanging="360"/>
      </w:pPr>
      <w:rPr>
        <w:rFonts w:ascii="Symbol" w:eastAsiaTheme="minorHAnsi" w:hAnsi="Symbol" w:cstheme="minorBidi"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9" w15:restartNumberingAfterBreak="0">
    <w:nsid w:val="1325180F"/>
    <w:multiLevelType w:val="hybridMultilevel"/>
    <w:tmpl w:val="415A8240"/>
    <w:lvl w:ilvl="0" w:tplc="5172EF9C">
      <w:start w:val="1"/>
      <w:numFmt w:val="decimal"/>
      <w:lvlText w:val="%1."/>
      <w:lvlJc w:val="left"/>
      <w:pPr>
        <w:ind w:left="1020" w:hanging="360"/>
      </w:pPr>
    </w:lvl>
    <w:lvl w:ilvl="1" w:tplc="FC3407BA">
      <w:start w:val="1"/>
      <w:numFmt w:val="decimal"/>
      <w:lvlText w:val="%2."/>
      <w:lvlJc w:val="left"/>
      <w:pPr>
        <w:ind w:left="1020" w:hanging="360"/>
      </w:pPr>
    </w:lvl>
    <w:lvl w:ilvl="2" w:tplc="ABF6A372">
      <w:start w:val="1"/>
      <w:numFmt w:val="decimal"/>
      <w:lvlText w:val="%3."/>
      <w:lvlJc w:val="left"/>
      <w:pPr>
        <w:ind w:left="1020" w:hanging="360"/>
      </w:pPr>
    </w:lvl>
    <w:lvl w:ilvl="3" w:tplc="CFDA57CA">
      <w:start w:val="1"/>
      <w:numFmt w:val="decimal"/>
      <w:lvlText w:val="%4."/>
      <w:lvlJc w:val="left"/>
      <w:pPr>
        <w:ind w:left="1020" w:hanging="360"/>
      </w:pPr>
    </w:lvl>
    <w:lvl w:ilvl="4" w:tplc="73D65CA8">
      <w:start w:val="1"/>
      <w:numFmt w:val="decimal"/>
      <w:lvlText w:val="%5."/>
      <w:lvlJc w:val="left"/>
      <w:pPr>
        <w:ind w:left="1020" w:hanging="360"/>
      </w:pPr>
    </w:lvl>
    <w:lvl w:ilvl="5" w:tplc="F1387896">
      <w:start w:val="1"/>
      <w:numFmt w:val="decimal"/>
      <w:lvlText w:val="%6."/>
      <w:lvlJc w:val="left"/>
      <w:pPr>
        <w:ind w:left="1020" w:hanging="360"/>
      </w:pPr>
    </w:lvl>
    <w:lvl w:ilvl="6" w:tplc="707A9A12">
      <w:start w:val="1"/>
      <w:numFmt w:val="decimal"/>
      <w:lvlText w:val="%7."/>
      <w:lvlJc w:val="left"/>
      <w:pPr>
        <w:ind w:left="1020" w:hanging="360"/>
      </w:pPr>
    </w:lvl>
    <w:lvl w:ilvl="7" w:tplc="26366C24">
      <w:start w:val="1"/>
      <w:numFmt w:val="decimal"/>
      <w:lvlText w:val="%8."/>
      <w:lvlJc w:val="left"/>
      <w:pPr>
        <w:ind w:left="1020" w:hanging="360"/>
      </w:pPr>
    </w:lvl>
    <w:lvl w:ilvl="8" w:tplc="23F85986">
      <w:start w:val="1"/>
      <w:numFmt w:val="decimal"/>
      <w:lvlText w:val="%9."/>
      <w:lvlJc w:val="left"/>
      <w:pPr>
        <w:ind w:left="1020" w:hanging="360"/>
      </w:pPr>
    </w:lvl>
  </w:abstractNum>
  <w:abstractNum w:abstractNumId="10" w15:restartNumberingAfterBreak="0">
    <w:nsid w:val="16D4784E"/>
    <w:multiLevelType w:val="hybridMultilevel"/>
    <w:tmpl w:val="38DA759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1" w15:restartNumberingAfterBreak="0">
    <w:nsid w:val="1B541C71"/>
    <w:multiLevelType w:val="hybridMultilevel"/>
    <w:tmpl w:val="95080358"/>
    <w:lvl w:ilvl="0" w:tplc="4809000F">
      <w:start w:val="1"/>
      <w:numFmt w:val="decimal"/>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22D1632E"/>
    <w:multiLevelType w:val="hybridMultilevel"/>
    <w:tmpl w:val="61C2DADC"/>
    <w:lvl w:ilvl="0" w:tplc="FB883E88">
      <w:numFmt w:val="bullet"/>
      <w:lvlText w:val=""/>
      <w:lvlJc w:val="left"/>
      <w:pPr>
        <w:ind w:left="720" w:hanging="360"/>
      </w:pPr>
      <w:rPr>
        <w:rFonts w:ascii="Symbol" w:eastAsiaTheme="minorHAnsi" w:hAnsi="Symbol" w:cstheme="minorBidi"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302D6D79"/>
    <w:multiLevelType w:val="hybridMultilevel"/>
    <w:tmpl w:val="0F489E7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 w15:restartNumberingAfterBreak="0">
    <w:nsid w:val="39A8238D"/>
    <w:multiLevelType w:val="hybridMultilevel"/>
    <w:tmpl w:val="286AF926"/>
    <w:lvl w:ilvl="0" w:tplc="D0529146">
      <w:start w:val="1"/>
      <w:numFmt w:val="decimal"/>
      <w:lvlText w:val="%1."/>
      <w:lvlJc w:val="left"/>
      <w:pPr>
        <w:ind w:left="1020" w:hanging="360"/>
      </w:pPr>
    </w:lvl>
    <w:lvl w:ilvl="1" w:tplc="B2E6CEAC">
      <w:start w:val="1"/>
      <w:numFmt w:val="decimal"/>
      <w:lvlText w:val="%2."/>
      <w:lvlJc w:val="left"/>
      <w:pPr>
        <w:ind w:left="1020" w:hanging="360"/>
      </w:pPr>
    </w:lvl>
    <w:lvl w:ilvl="2" w:tplc="3D5C809C">
      <w:start w:val="1"/>
      <w:numFmt w:val="decimal"/>
      <w:lvlText w:val="%3."/>
      <w:lvlJc w:val="left"/>
      <w:pPr>
        <w:ind w:left="1020" w:hanging="360"/>
      </w:pPr>
    </w:lvl>
    <w:lvl w:ilvl="3" w:tplc="5650C47E">
      <w:start w:val="1"/>
      <w:numFmt w:val="decimal"/>
      <w:lvlText w:val="%4."/>
      <w:lvlJc w:val="left"/>
      <w:pPr>
        <w:ind w:left="1020" w:hanging="360"/>
      </w:pPr>
    </w:lvl>
    <w:lvl w:ilvl="4" w:tplc="B2EEDD4C">
      <w:start w:val="1"/>
      <w:numFmt w:val="decimal"/>
      <w:lvlText w:val="%5."/>
      <w:lvlJc w:val="left"/>
      <w:pPr>
        <w:ind w:left="1020" w:hanging="360"/>
      </w:pPr>
    </w:lvl>
    <w:lvl w:ilvl="5" w:tplc="3126DFB4">
      <w:start w:val="1"/>
      <w:numFmt w:val="decimal"/>
      <w:lvlText w:val="%6."/>
      <w:lvlJc w:val="left"/>
      <w:pPr>
        <w:ind w:left="1020" w:hanging="360"/>
      </w:pPr>
    </w:lvl>
    <w:lvl w:ilvl="6" w:tplc="94E469BC">
      <w:start w:val="1"/>
      <w:numFmt w:val="decimal"/>
      <w:lvlText w:val="%7."/>
      <w:lvlJc w:val="left"/>
      <w:pPr>
        <w:ind w:left="1020" w:hanging="360"/>
      </w:pPr>
    </w:lvl>
    <w:lvl w:ilvl="7" w:tplc="E98E9AAA">
      <w:start w:val="1"/>
      <w:numFmt w:val="decimal"/>
      <w:lvlText w:val="%8."/>
      <w:lvlJc w:val="left"/>
      <w:pPr>
        <w:ind w:left="1020" w:hanging="360"/>
      </w:pPr>
    </w:lvl>
    <w:lvl w:ilvl="8" w:tplc="F8D47696">
      <w:start w:val="1"/>
      <w:numFmt w:val="decimal"/>
      <w:lvlText w:val="%9."/>
      <w:lvlJc w:val="left"/>
      <w:pPr>
        <w:ind w:left="1020" w:hanging="360"/>
      </w:pPr>
    </w:lvl>
  </w:abstractNum>
  <w:abstractNum w:abstractNumId="15" w15:restartNumberingAfterBreak="0">
    <w:nsid w:val="3BE04C0B"/>
    <w:multiLevelType w:val="hybridMultilevel"/>
    <w:tmpl w:val="1BC0D7A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432D5AF3"/>
    <w:multiLevelType w:val="hybridMultilevel"/>
    <w:tmpl w:val="4D566510"/>
    <w:lvl w:ilvl="0" w:tplc="7C960F38">
      <w:start w:val="1"/>
      <w:numFmt w:val="upperLetter"/>
      <w:lvlText w:val="%1."/>
      <w:lvlJc w:val="left"/>
      <w:pPr>
        <w:ind w:left="360" w:hanging="360"/>
      </w:pPr>
      <w:rPr>
        <w:rFonts w:asciiTheme="minorHAnsi" w:eastAsiaTheme="minorHAnsi" w:hAnsiTheme="minorHAnsi" w:cstheme="minorBidi"/>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48221173"/>
    <w:multiLevelType w:val="hybridMultilevel"/>
    <w:tmpl w:val="E2D6CD96"/>
    <w:lvl w:ilvl="0" w:tplc="280EF06C">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F232A33"/>
    <w:multiLevelType w:val="hybridMultilevel"/>
    <w:tmpl w:val="20AE3BB4"/>
    <w:lvl w:ilvl="0" w:tplc="B9322F80">
      <w:start w:val="1"/>
      <w:numFmt w:val="decimal"/>
      <w:lvlText w:val="%1."/>
      <w:lvlJc w:val="left"/>
      <w:pPr>
        <w:ind w:left="1020" w:hanging="360"/>
      </w:pPr>
    </w:lvl>
    <w:lvl w:ilvl="1" w:tplc="9A925FB2">
      <w:start w:val="1"/>
      <w:numFmt w:val="decimal"/>
      <w:lvlText w:val="%2."/>
      <w:lvlJc w:val="left"/>
      <w:pPr>
        <w:ind w:left="1020" w:hanging="360"/>
      </w:pPr>
    </w:lvl>
    <w:lvl w:ilvl="2" w:tplc="9E34A3AE">
      <w:start w:val="1"/>
      <w:numFmt w:val="decimal"/>
      <w:lvlText w:val="%3."/>
      <w:lvlJc w:val="left"/>
      <w:pPr>
        <w:ind w:left="1020" w:hanging="360"/>
      </w:pPr>
    </w:lvl>
    <w:lvl w:ilvl="3" w:tplc="CF826E62">
      <w:start w:val="1"/>
      <w:numFmt w:val="decimal"/>
      <w:lvlText w:val="%4."/>
      <w:lvlJc w:val="left"/>
      <w:pPr>
        <w:ind w:left="1020" w:hanging="360"/>
      </w:pPr>
    </w:lvl>
    <w:lvl w:ilvl="4" w:tplc="391E9F8E">
      <w:start w:val="1"/>
      <w:numFmt w:val="decimal"/>
      <w:lvlText w:val="%5."/>
      <w:lvlJc w:val="left"/>
      <w:pPr>
        <w:ind w:left="1020" w:hanging="360"/>
      </w:pPr>
    </w:lvl>
    <w:lvl w:ilvl="5" w:tplc="B82284A6">
      <w:start w:val="1"/>
      <w:numFmt w:val="decimal"/>
      <w:lvlText w:val="%6."/>
      <w:lvlJc w:val="left"/>
      <w:pPr>
        <w:ind w:left="1020" w:hanging="360"/>
      </w:pPr>
    </w:lvl>
    <w:lvl w:ilvl="6" w:tplc="74008CE0">
      <w:start w:val="1"/>
      <w:numFmt w:val="decimal"/>
      <w:lvlText w:val="%7."/>
      <w:lvlJc w:val="left"/>
      <w:pPr>
        <w:ind w:left="1020" w:hanging="360"/>
      </w:pPr>
    </w:lvl>
    <w:lvl w:ilvl="7" w:tplc="06AA0ECE">
      <w:start w:val="1"/>
      <w:numFmt w:val="decimal"/>
      <w:lvlText w:val="%8."/>
      <w:lvlJc w:val="left"/>
      <w:pPr>
        <w:ind w:left="1020" w:hanging="360"/>
      </w:pPr>
    </w:lvl>
    <w:lvl w:ilvl="8" w:tplc="49A48CEE">
      <w:start w:val="1"/>
      <w:numFmt w:val="decimal"/>
      <w:lvlText w:val="%9."/>
      <w:lvlJc w:val="left"/>
      <w:pPr>
        <w:ind w:left="1020" w:hanging="360"/>
      </w:pPr>
    </w:lvl>
  </w:abstractNum>
  <w:abstractNum w:abstractNumId="19" w15:restartNumberingAfterBreak="0">
    <w:nsid w:val="541A3FCC"/>
    <w:multiLevelType w:val="hybridMultilevel"/>
    <w:tmpl w:val="81FABD0E"/>
    <w:lvl w:ilvl="0" w:tplc="B3C4FD9A">
      <w:numFmt w:val="bullet"/>
      <w:lvlText w:val=""/>
      <w:lvlJc w:val="left"/>
      <w:pPr>
        <w:ind w:left="720" w:hanging="360"/>
      </w:pPr>
      <w:rPr>
        <w:rFonts w:ascii="Symbol" w:eastAsiaTheme="minorHAnsi" w:hAnsi="Symbol" w:cstheme="minorBid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9FE1C36"/>
    <w:multiLevelType w:val="hybridMultilevel"/>
    <w:tmpl w:val="99C46586"/>
    <w:lvl w:ilvl="0" w:tplc="B3C4FD9A">
      <w:numFmt w:val="bullet"/>
      <w:lvlText w:val=""/>
      <w:lvlJc w:val="left"/>
      <w:pPr>
        <w:ind w:left="360" w:hanging="360"/>
      </w:pPr>
      <w:rPr>
        <w:rFonts w:ascii="Symbol" w:eastAsiaTheme="minorHAnsi" w:hAnsi="Symbol" w:cstheme="minorBidi"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437598702">
    <w:abstractNumId w:val="12"/>
  </w:num>
  <w:num w:numId="2" w16cid:durableId="1708405158">
    <w:abstractNumId w:val="17"/>
  </w:num>
  <w:num w:numId="3" w16cid:durableId="1417627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374462">
    <w:abstractNumId w:val="13"/>
  </w:num>
  <w:num w:numId="5" w16cid:durableId="204145640">
    <w:abstractNumId w:val="4"/>
  </w:num>
  <w:num w:numId="6" w16cid:durableId="671226172">
    <w:abstractNumId w:val="19"/>
  </w:num>
  <w:num w:numId="7" w16cid:durableId="1394426933">
    <w:abstractNumId w:val="20"/>
  </w:num>
  <w:num w:numId="8" w16cid:durableId="858160146">
    <w:abstractNumId w:val="8"/>
  </w:num>
  <w:num w:numId="9" w16cid:durableId="1872455211">
    <w:abstractNumId w:val="7"/>
  </w:num>
  <w:num w:numId="10" w16cid:durableId="437019565">
    <w:abstractNumId w:val="6"/>
  </w:num>
  <w:num w:numId="11" w16cid:durableId="1262027600">
    <w:abstractNumId w:val="5"/>
  </w:num>
  <w:num w:numId="12" w16cid:durableId="1625424666">
    <w:abstractNumId w:val="11"/>
  </w:num>
  <w:num w:numId="13" w16cid:durableId="141385199">
    <w:abstractNumId w:val="2"/>
  </w:num>
  <w:num w:numId="14" w16cid:durableId="78988801">
    <w:abstractNumId w:val="0"/>
  </w:num>
  <w:num w:numId="15" w16cid:durableId="813134790">
    <w:abstractNumId w:val="3"/>
  </w:num>
  <w:num w:numId="16" w16cid:durableId="30151952">
    <w:abstractNumId w:val="18"/>
  </w:num>
  <w:num w:numId="17" w16cid:durableId="432869845">
    <w:abstractNumId w:val="1"/>
  </w:num>
  <w:num w:numId="18" w16cid:durableId="1863324309">
    <w:abstractNumId w:val="9"/>
  </w:num>
  <w:num w:numId="19" w16cid:durableId="639460024">
    <w:abstractNumId w:val="16"/>
  </w:num>
  <w:num w:numId="20" w16cid:durableId="1740134513">
    <w:abstractNumId w:val="14"/>
  </w:num>
  <w:num w:numId="21" w16cid:durableId="155849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650"/>
    <w:rsid w:val="0005262B"/>
    <w:rsid w:val="000714CE"/>
    <w:rsid w:val="0009164E"/>
    <w:rsid w:val="000A1760"/>
    <w:rsid w:val="000A3F4F"/>
    <w:rsid w:val="000B44F3"/>
    <w:rsid w:val="000C212C"/>
    <w:rsid w:val="000D7EA9"/>
    <w:rsid w:val="0012191B"/>
    <w:rsid w:val="001353ED"/>
    <w:rsid w:val="00196BBF"/>
    <w:rsid w:val="001A20BA"/>
    <w:rsid w:val="001A2965"/>
    <w:rsid w:val="001C7719"/>
    <w:rsid w:val="001D30A1"/>
    <w:rsid w:val="001E6A30"/>
    <w:rsid w:val="002576E1"/>
    <w:rsid w:val="0027475A"/>
    <w:rsid w:val="0028203E"/>
    <w:rsid w:val="002B040D"/>
    <w:rsid w:val="002B1069"/>
    <w:rsid w:val="002B2D94"/>
    <w:rsid w:val="002B3F2F"/>
    <w:rsid w:val="002D5700"/>
    <w:rsid w:val="003249FD"/>
    <w:rsid w:val="00327650"/>
    <w:rsid w:val="003A42C5"/>
    <w:rsid w:val="003A48DF"/>
    <w:rsid w:val="003F6ECB"/>
    <w:rsid w:val="00404848"/>
    <w:rsid w:val="004307E6"/>
    <w:rsid w:val="004367BC"/>
    <w:rsid w:val="004A41DA"/>
    <w:rsid w:val="004F2121"/>
    <w:rsid w:val="00515AEE"/>
    <w:rsid w:val="005221DF"/>
    <w:rsid w:val="005A6F63"/>
    <w:rsid w:val="005B4CD8"/>
    <w:rsid w:val="005F50E8"/>
    <w:rsid w:val="0063454D"/>
    <w:rsid w:val="006A3A08"/>
    <w:rsid w:val="006B3F23"/>
    <w:rsid w:val="006E0349"/>
    <w:rsid w:val="0070227C"/>
    <w:rsid w:val="00764FDC"/>
    <w:rsid w:val="007666ED"/>
    <w:rsid w:val="007A1F8F"/>
    <w:rsid w:val="007B5FB7"/>
    <w:rsid w:val="00803BF2"/>
    <w:rsid w:val="00804D0F"/>
    <w:rsid w:val="00891579"/>
    <w:rsid w:val="008B5EAA"/>
    <w:rsid w:val="009376B9"/>
    <w:rsid w:val="00957805"/>
    <w:rsid w:val="0097436D"/>
    <w:rsid w:val="00987A3B"/>
    <w:rsid w:val="009D1098"/>
    <w:rsid w:val="00A608C9"/>
    <w:rsid w:val="00A63C9E"/>
    <w:rsid w:val="00AC7DF4"/>
    <w:rsid w:val="00B1057C"/>
    <w:rsid w:val="00B21004"/>
    <w:rsid w:val="00B74650"/>
    <w:rsid w:val="00B861E1"/>
    <w:rsid w:val="00BC75AD"/>
    <w:rsid w:val="00BE3087"/>
    <w:rsid w:val="00BE4B1F"/>
    <w:rsid w:val="00BF5DA1"/>
    <w:rsid w:val="00C11A7A"/>
    <w:rsid w:val="00C33324"/>
    <w:rsid w:val="00C87D5A"/>
    <w:rsid w:val="00CA5288"/>
    <w:rsid w:val="00CA6A86"/>
    <w:rsid w:val="00CA7F9F"/>
    <w:rsid w:val="00D86B3A"/>
    <w:rsid w:val="00DA5C86"/>
    <w:rsid w:val="00DB1B98"/>
    <w:rsid w:val="00DB40B5"/>
    <w:rsid w:val="00DC31B8"/>
    <w:rsid w:val="00DE6E67"/>
    <w:rsid w:val="00E07FDE"/>
    <w:rsid w:val="00E253D8"/>
    <w:rsid w:val="00E55D2C"/>
    <w:rsid w:val="00E85B74"/>
    <w:rsid w:val="00E9001F"/>
    <w:rsid w:val="00ED0971"/>
    <w:rsid w:val="00F559F9"/>
    <w:rsid w:val="00FA1F9E"/>
    <w:rsid w:val="00FF5CB3"/>
    <w:rsid w:val="00FF7D1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A0545"/>
  <w15:chartTrackingRefBased/>
  <w15:docId w15:val="{C4FE6C24-2DF6-468F-A3A9-1C5A5B71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650"/>
    <w:rPr>
      <w:rFonts w:eastAsiaTheme="majorEastAsia" w:cstheme="majorBidi"/>
      <w:color w:val="272727" w:themeColor="text1" w:themeTint="D8"/>
    </w:rPr>
  </w:style>
  <w:style w:type="paragraph" w:styleId="Title">
    <w:name w:val="Title"/>
    <w:basedOn w:val="Normal"/>
    <w:next w:val="Normal"/>
    <w:link w:val="TitleChar"/>
    <w:uiPriority w:val="10"/>
    <w:qFormat/>
    <w:rsid w:val="00B74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650"/>
    <w:pPr>
      <w:spacing w:before="160"/>
      <w:jc w:val="center"/>
    </w:pPr>
    <w:rPr>
      <w:i/>
      <w:iCs/>
      <w:color w:val="404040" w:themeColor="text1" w:themeTint="BF"/>
    </w:rPr>
  </w:style>
  <w:style w:type="character" w:customStyle="1" w:styleId="QuoteChar">
    <w:name w:val="Quote Char"/>
    <w:basedOn w:val="DefaultParagraphFont"/>
    <w:link w:val="Quote"/>
    <w:uiPriority w:val="29"/>
    <w:rsid w:val="00B74650"/>
    <w:rPr>
      <w:i/>
      <w:iCs/>
      <w:color w:val="404040" w:themeColor="text1" w:themeTint="BF"/>
    </w:rPr>
  </w:style>
  <w:style w:type="paragraph" w:styleId="ListParagraph">
    <w:name w:val="List Paragraph"/>
    <w:basedOn w:val="Normal"/>
    <w:uiPriority w:val="34"/>
    <w:qFormat/>
    <w:rsid w:val="00B74650"/>
    <w:pPr>
      <w:ind w:left="720"/>
      <w:contextualSpacing/>
    </w:pPr>
  </w:style>
  <w:style w:type="character" w:styleId="IntenseEmphasis">
    <w:name w:val="Intense Emphasis"/>
    <w:basedOn w:val="DefaultParagraphFont"/>
    <w:uiPriority w:val="21"/>
    <w:qFormat/>
    <w:rsid w:val="00B74650"/>
    <w:rPr>
      <w:i/>
      <w:iCs/>
      <w:color w:val="0F4761" w:themeColor="accent1" w:themeShade="BF"/>
    </w:rPr>
  </w:style>
  <w:style w:type="paragraph" w:styleId="IntenseQuote">
    <w:name w:val="Intense Quote"/>
    <w:basedOn w:val="Normal"/>
    <w:next w:val="Normal"/>
    <w:link w:val="IntenseQuoteChar"/>
    <w:uiPriority w:val="30"/>
    <w:qFormat/>
    <w:rsid w:val="00B74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650"/>
    <w:rPr>
      <w:i/>
      <w:iCs/>
      <w:color w:val="0F4761" w:themeColor="accent1" w:themeShade="BF"/>
    </w:rPr>
  </w:style>
  <w:style w:type="character" w:styleId="IntenseReference">
    <w:name w:val="Intense Reference"/>
    <w:basedOn w:val="DefaultParagraphFont"/>
    <w:uiPriority w:val="32"/>
    <w:qFormat/>
    <w:rsid w:val="00B74650"/>
    <w:rPr>
      <w:b/>
      <w:bCs/>
      <w:smallCaps/>
      <w:color w:val="0F4761" w:themeColor="accent1" w:themeShade="BF"/>
      <w:spacing w:val="5"/>
    </w:rPr>
  </w:style>
  <w:style w:type="table" w:styleId="TableGrid">
    <w:name w:val="Table Grid"/>
    <w:basedOn w:val="TableNormal"/>
    <w:uiPriority w:val="39"/>
    <w:rsid w:val="00B746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53ED"/>
    <w:pPr>
      <w:spacing w:after="0" w:line="240" w:lineRule="auto"/>
    </w:pPr>
  </w:style>
  <w:style w:type="character" w:styleId="CommentReference">
    <w:name w:val="annotation reference"/>
    <w:basedOn w:val="DefaultParagraphFont"/>
    <w:uiPriority w:val="99"/>
    <w:semiHidden/>
    <w:unhideWhenUsed/>
    <w:rsid w:val="000A3F4F"/>
    <w:rPr>
      <w:sz w:val="16"/>
      <w:szCs w:val="16"/>
    </w:rPr>
  </w:style>
  <w:style w:type="paragraph" w:styleId="CommentText">
    <w:name w:val="annotation text"/>
    <w:basedOn w:val="Normal"/>
    <w:link w:val="CommentTextChar"/>
    <w:uiPriority w:val="99"/>
    <w:unhideWhenUsed/>
    <w:rsid w:val="000A3F4F"/>
    <w:pPr>
      <w:spacing w:line="240" w:lineRule="auto"/>
    </w:pPr>
    <w:rPr>
      <w:sz w:val="20"/>
      <w:szCs w:val="20"/>
    </w:rPr>
  </w:style>
  <w:style w:type="character" w:customStyle="1" w:styleId="CommentTextChar">
    <w:name w:val="Comment Text Char"/>
    <w:basedOn w:val="DefaultParagraphFont"/>
    <w:link w:val="CommentText"/>
    <w:uiPriority w:val="99"/>
    <w:rsid w:val="000A3F4F"/>
    <w:rPr>
      <w:sz w:val="20"/>
      <w:szCs w:val="20"/>
    </w:rPr>
  </w:style>
  <w:style w:type="paragraph" w:styleId="CommentSubject">
    <w:name w:val="annotation subject"/>
    <w:basedOn w:val="CommentText"/>
    <w:next w:val="CommentText"/>
    <w:link w:val="CommentSubjectChar"/>
    <w:uiPriority w:val="99"/>
    <w:semiHidden/>
    <w:unhideWhenUsed/>
    <w:rsid w:val="000A3F4F"/>
    <w:rPr>
      <w:b/>
      <w:bCs/>
    </w:rPr>
  </w:style>
  <w:style w:type="character" w:customStyle="1" w:styleId="CommentSubjectChar">
    <w:name w:val="Comment Subject Char"/>
    <w:basedOn w:val="CommentTextChar"/>
    <w:link w:val="CommentSubject"/>
    <w:uiPriority w:val="99"/>
    <w:semiHidden/>
    <w:rsid w:val="000A3F4F"/>
    <w:rPr>
      <w:b/>
      <w:bCs/>
      <w:sz w:val="20"/>
      <w:szCs w:val="20"/>
    </w:rPr>
  </w:style>
  <w:style w:type="paragraph" w:styleId="Header">
    <w:name w:val="header"/>
    <w:basedOn w:val="Normal"/>
    <w:link w:val="HeaderChar"/>
    <w:uiPriority w:val="99"/>
    <w:unhideWhenUsed/>
    <w:rsid w:val="002B0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40D"/>
  </w:style>
  <w:style w:type="paragraph" w:styleId="Footer">
    <w:name w:val="footer"/>
    <w:basedOn w:val="Normal"/>
    <w:link w:val="FooterChar"/>
    <w:uiPriority w:val="99"/>
    <w:unhideWhenUsed/>
    <w:rsid w:val="002B0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17">
      <w:bodyDiv w:val="1"/>
      <w:marLeft w:val="0"/>
      <w:marRight w:val="0"/>
      <w:marTop w:val="0"/>
      <w:marBottom w:val="0"/>
      <w:divBdr>
        <w:top w:val="none" w:sz="0" w:space="0" w:color="auto"/>
        <w:left w:val="none" w:sz="0" w:space="0" w:color="auto"/>
        <w:bottom w:val="none" w:sz="0" w:space="0" w:color="auto"/>
        <w:right w:val="none" w:sz="0" w:space="0" w:color="auto"/>
      </w:divBdr>
    </w:div>
    <w:div w:id="107706434">
      <w:bodyDiv w:val="1"/>
      <w:marLeft w:val="0"/>
      <w:marRight w:val="0"/>
      <w:marTop w:val="0"/>
      <w:marBottom w:val="0"/>
      <w:divBdr>
        <w:top w:val="none" w:sz="0" w:space="0" w:color="auto"/>
        <w:left w:val="none" w:sz="0" w:space="0" w:color="auto"/>
        <w:bottom w:val="none" w:sz="0" w:space="0" w:color="auto"/>
        <w:right w:val="none" w:sz="0" w:space="0" w:color="auto"/>
      </w:divBdr>
    </w:div>
    <w:div w:id="465244077">
      <w:bodyDiv w:val="1"/>
      <w:marLeft w:val="0"/>
      <w:marRight w:val="0"/>
      <w:marTop w:val="0"/>
      <w:marBottom w:val="0"/>
      <w:divBdr>
        <w:top w:val="none" w:sz="0" w:space="0" w:color="auto"/>
        <w:left w:val="none" w:sz="0" w:space="0" w:color="auto"/>
        <w:bottom w:val="none" w:sz="0" w:space="0" w:color="auto"/>
        <w:right w:val="none" w:sz="0" w:space="0" w:color="auto"/>
      </w:divBdr>
    </w:div>
    <w:div w:id="732698711">
      <w:bodyDiv w:val="1"/>
      <w:marLeft w:val="0"/>
      <w:marRight w:val="0"/>
      <w:marTop w:val="0"/>
      <w:marBottom w:val="0"/>
      <w:divBdr>
        <w:top w:val="none" w:sz="0" w:space="0" w:color="auto"/>
        <w:left w:val="none" w:sz="0" w:space="0" w:color="auto"/>
        <w:bottom w:val="none" w:sz="0" w:space="0" w:color="auto"/>
        <w:right w:val="none" w:sz="0" w:space="0" w:color="auto"/>
      </w:divBdr>
    </w:div>
    <w:div w:id="861359564">
      <w:bodyDiv w:val="1"/>
      <w:marLeft w:val="0"/>
      <w:marRight w:val="0"/>
      <w:marTop w:val="0"/>
      <w:marBottom w:val="0"/>
      <w:divBdr>
        <w:top w:val="none" w:sz="0" w:space="0" w:color="auto"/>
        <w:left w:val="none" w:sz="0" w:space="0" w:color="auto"/>
        <w:bottom w:val="none" w:sz="0" w:space="0" w:color="auto"/>
        <w:right w:val="none" w:sz="0" w:space="0" w:color="auto"/>
      </w:divBdr>
    </w:div>
    <w:div w:id="940185342">
      <w:bodyDiv w:val="1"/>
      <w:marLeft w:val="0"/>
      <w:marRight w:val="0"/>
      <w:marTop w:val="0"/>
      <w:marBottom w:val="0"/>
      <w:divBdr>
        <w:top w:val="none" w:sz="0" w:space="0" w:color="auto"/>
        <w:left w:val="none" w:sz="0" w:space="0" w:color="auto"/>
        <w:bottom w:val="none" w:sz="0" w:space="0" w:color="auto"/>
        <w:right w:val="none" w:sz="0" w:space="0" w:color="auto"/>
      </w:divBdr>
    </w:div>
    <w:div w:id="1004165660">
      <w:bodyDiv w:val="1"/>
      <w:marLeft w:val="0"/>
      <w:marRight w:val="0"/>
      <w:marTop w:val="0"/>
      <w:marBottom w:val="0"/>
      <w:divBdr>
        <w:top w:val="none" w:sz="0" w:space="0" w:color="auto"/>
        <w:left w:val="none" w:sz="0" w:space="0" w:color="auto"/>
        <w:bottom w:val="none" w:sz="0" w:space="0" w:color="auto"/>
        <w:right w:val="none" w:sz="0" w:space="0" w:color="auto"/>
      </w:divBdr>
    </w:div>
    <w:div w:id="1032003135">
      <w:bodyDiv w:val="1"/>
      <w:marLeft w:val="0"/>
      <w:marRight w:val="0"/>
      <w:marTop w:val="0"/>
      <w:marBottom w:val="0"/>
      <w:divBdr>
        <w:top w:val="none" w:sz="0" w:space="0" w:color="auto"/>
        <w:left w:val="none" w:sz="0" w:space="0" w:color="auto"/>
        <w:bottom w:val="none" w:sz="0" w:space="0" w:color="auto"/>
        <w:right w:val="none" w:sz="0" w:space="0" w:color="auto"/>
      </w:divBdr>
    </w:div>
    <w:div w:id="1045955431">
      <w:bodyDiv w:val="1"/>
      <w:marLeft w:val="0"/>
      <w:marRight w:val="0"/>
      <w:marTop w:val="0"/>
      <w:marBottom w:val="0"/>
      <w:divBdr>
        <w:top w:val="none" w:sz="0" w:space="0" w:color="auto"/>
        <w:left w:val="none" w:sz="0" w:space="0" w:color="auto"/>
        <w:bottom w:val="none" w:sz="0" w:space="0" w:color="auto"/>
        <w:right w:val="none" w:sz="0" w:space="0" w:color="auto"/>
      </w:divBdr>
    </w:div>
    <w:div w:id="1171414530">
      <w:bodyDiv w:val="1"/>
      <w:marLeft w:val="0"/>
      <w:marRight w:val="0"/>
      <w:marTop w:val="0"/>
      <w:marBottom w:val="0"/>
      <w:divBdr>
        <w:top w:val="none" w:sz="0" w:space="0" w:color="auto"/>
        <w:left w:val="none" w:sz="0" w:space="0" w:color="auto"/>
        <w:bottom w:val="none" w:sz="0" w:space="0" w:color="auto"/>
        <w:right w:val="none" w:sz="0" w:space="0" w:color="auto"/>
      </w:divBdr>
    </w:div>
    <w:div w:id="1203438190">
      <w:bodyDiv w:val="1"/>
      <w:marLeft w:val="0"/>
      <w:marRight w:val="0"/>
      <w:marTop w:val="0"/>
      <w:marBottom w:val="0"/>
      <w:divBdr>
        <w:top w:val="none" w:sz="0" w:space="0" w:color="auto"/>
        <w:left w:val="none" w:sz="0" w:space="0" w:color="auto"/>
        <w:bottom w:val="none" w:sz="0" w:space="0" w:color="auto"/>
        <w:right w:val="none" w:sz="0" w:space="0" w:color="auto"/>
      </w:divBdr>
    </w:div>
    <w:div w:id="1233856200">
      <w:bodyDiv w:val="1"/>
      <w:marLeft w:val="0"/>
      <w:marRight w:val="0"/>
      <w:marTop w:val="0"/>
      <w:marBottom w:val="0"/>
      <w:divBdr>
        <w:top w:val="none" w:sz="0" w:space="0" w:color="auto"/>
        <w:left w:val="none" w:sz="0" w:space="0" w:color="auto"/>
        <w:bottom w:val="none" w:sz="0" w:space="0" w:color="auto"/>
        <w:right w:val="none" w:sz="0" w:space="0" w:color="auto"/>
      </w:divBdr>
    </w:div>
    <w:div w:id="1252546456">
      <w:bodyDiv w:val="1"/>
      <w:marLeft w:val="0"/>
      <w:marRight w:val="0"/>
      <w:marTop w:val="0"/>
      <w:marBottom w:val="0"/>
      <w:divBdr>
        <w:top w:val="none" w:sz="0" w:space="0" w:color="auto"/>
        <w:left w:val="none" w:sz="0" w:space="0" w:color="auto"/>
        <w:bottom w:val="none" w:sz="0" w:space="0" w:color="auto"/>
        <w:right w:val="none" w:sz="0" w:space="0" w:color="auto"/>
      </w:divBdr>
    </w:div>
    <w:div w:id="1417901770">
      <w:bodyDiv w:val="1"/>
      <w:marLeft w:val="0"/>
      <w:marRight w:val="0"/>
      <w:marTop w:val="0"/>
      <w:marBottom w:val="0"/>
      <w:divBdr>
        <w:top w:val="none" w:sz="0" w:space="0" w:color="auto"/>
        <w:left w:val="none" w:sz="0" w:space="0" w:color="auto"/>
        <w:bottom w:val="none" w:sz="0" w:space="0" w:color="auto"/>
        <w:right w:val="none" w:sz="0" w:space="0" w:color="auto"/>
      </w:divBdr>
    </w:div>
    <w:div w:id="1529678951">
      <w:bodyDiv w:val="1"/>
      <w:marLeft w:val="0"/>
      <w:marRight w:val="0"/>
      <w:marTop w:val="0"/>
      <w:marBottom w:val="0"/>
      <w:divBdr>
        <w:top w:val="none" w:sz="0" w:space="0" w:color="auto"/>
        <w:left w:val="none" w:sz="0" w:space="0" w:color="auto"/>
        <w:bottom w:val="none" w:sz="0" w:space="0" w:color="auto"/>
        <w:right w:val="none" w:sz="0" w:space="0" w:color="auto"/>
      </w:divBdr>
    </w:div>
    <w:div w:id="1645701163">
      <w:bodyDiv w:val="1"/>
      <w:marLeft w:val="0"/>
      <w:marRight w:val="0"/>
      <w:marTop w:val="0"/>
      <w:marBottom w:val="0"/>
      <w:divBdr>
        <w:top w:val="none" w:sz="0" w:space="0" w:color="auto"/>
        <w:left w:val="none" w:sz="0" w:space="0" w:color="auto"/>
        <w:bottom w:val="none" w:sz="0" w:space="0" w:color="auto"/>
        <w:right w:val="none" w:sz="0" w:space="0" w:color="auto"/>
      </w:divBdr>
    </w:div>
    <w:div w:id="1652443165">
      <w:bodyDiv w:val="1"/>
      <w:marLeft w:val="0"/>
      <w:marRight w:val="0"/>
      <w:marTop w:val="0"/>
      <w:marBottom w:val="0"/>
      <w:divBdr>
        <w:top w:val="none" w:sz="0" w:space="0" w:color="auto"/>
        <w:left w:val="none" w:sz="0" w:space="0" w:color="auto"/>
        <w:bottom w:val="none" w:sz="0" w:space="0" w:color="auto"/>
        <w:right w:val="none" w:sz="0" w:space="0" w:color="auto"/>
      </w:divBdr>
    </w:div>
    <w:div w:id="1693070952">
      <w:bodyDiv w:val="1"/>
      <w:marLeft w:val="0"/>
      <w:marRight w:val="0"/>
      <w:marTop w:val="0"/>
      <w:marBottom w:val="0"/>
      <w:divBdr>
        <w:top w:val="none" w:sz="0" w:space="0" w:color="auto"/>
        <w:left w:val="none" w:sz="0" w:space="0" w:color="auto"/>
        <w:bottom w:val="none" w:sz="0" w:space="0" w:color="auto"/>
        <w:right w:val="none" w:sz="0" w:space="0" w:color="auto"/>
      </w:divBdr>
    </w:div>
    <w:div w:id="1736003649">
      <w:bodyDiv w:val="1"/>
      <w:marLeft w:val="0"/>
      <w:marRight w:val="0"/>
      <w:marTop w:val="0"/>
      <w:marBottom w:val="0"/>
      <w:divBdr>
        <w:top w:val="none" w:sz="0" w:space="0" w:color="auto"/>
        <w:left w:val="none" w:sz="0" w:space="0" w:color="auto"/>
        <w:bottom w:val="none" w:sz="0" w:space="0" w:color="auto"/>
        <w:right w:val="none" w:sz="0" w:space="0" w:color="auto"/>
      </w:divBdr>
    </w:div>
    <w:div w:id="1763263143">
      <w:bodyDiv w:val="1"/>
      <w:marLeft w:val="0"/>
      <w:marRight w:val="0"/>
      <w:marTop w:val="0"/>
      <w:marBottom w:val="0"/>
      <w:divBdr>
        <w:top w:val="none" w:sz="0" w:space="0" w:color="auto"/>
        <w:left w:val="none" w:sz="0" w:space="0" w:color="auto"/>
        <w:bottom w:val="none" w:sz="0" w:space="0" w:color="auto"/>
        <w:right w:val="none" w:sz="0" w:space="0" w:color="auto"/>
      </w:divBdr>
    </w:div>
    <w:div w:id="1790777145">
      <w:bodyDiv w:val="1"/>
      <w:marLeft w:val="0"/>
      <w:marRight w:val="0"/>
      <w:marTop w:val="0"/>
      <w:marBottom w:val="0"/>
      <w:divBdr>
        <w:top w:val="none" w:sz="0" w:space="0" w:color="auto"/>
        <w:left w:val="none" w:sz="0" w:space="0" w:color="auto"/>
        <w:bottom w:val="none" w:sz="0" w:space="0" w:color="auto"/>
        <w:right w:val="none" w:sz="0" w:space="0" w:color="auto"/>
      </w:divBdr>
    </w:div>
    <w:div w:id="184230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1519</Words>
  <Characters>8663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CHEN (MTI)</dc:creator>
  <cp:keywords/>
  <dc:description/>
  <cp:lastModifiedBy>Beatrice CHEN (MTI)</cp:lastModifiedBy>
  <cp:revision>3</cp:revision>
  <dcterms:created xsi:type="dcterms:W3CDTF">2025-11-24T12:04:00Z</dcterms:created>
  <dcterms:modified xsi:type="dcterms:W3CDTF">2025-11-24T12:19:00Z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3db910-0838-4c35-bb3a-1ee21aa199ac_Enabled">
    <vt:lpwstr>true</vt:lpwstr>
  </property>
  <property fmtid="{D5CDD505-2E9C-101B-9397-08002B2CF9AE}" pid="3" name="MSIP_Label_153db910-0838-4c35-bb3a-1ee21aa199ac_SetDate">
    <vt:lpwstr>2025-10-30T09:53:30Z</vt:lpwstr>
  </property>
  <property fmtid="{D5CDD505-2E9C-101B-9397-08002B2CF9AE}" pid="4" name="MSIP_Label_153db910-0838-4c35-bb3a-1ee21aa199ac_Method">
    <vt:lpwstr>Privileged</vt:lpwstr>
  </property>
  <property fmtid="{D5CDD505-2E9C-101B-9397-08002B2CF9AE}" pid="5" name="MSIP_Label_153db910-0838-4c35-bb3a-1ee21aa199ac_Name">
    <vt:lpwstr>Sensitive Normal</vt:lpwstr>
  </property>
  <property fmtid="{D5CDD505-2E9C-101B-9397-08002B2CF9AE}" pid="6" name="MSIP_Label_153db910-0838-4c35-bb3a-1ee21aa199ac_SiteId">
    <vt:lpwstr>0b11c524-9a1c-4e1b-84cb-6336aefc2243</vt:lpwstr>
  </property>
  <property fmtid="{D5CDD505-2E9C-101B-9397-08002B2CF9AE}" pid="7" name="MSIP_Label_153db910-0838-4c35-bb3a-1ee21aa199ac_ActionId">
    <vt:lpwstr>125e91c4-02a1-4d33-a46e-661c6097bc65</vt:lpwstr>
  </property>
  <property fmtid="{D5CDD505-2E9C-101B-9397-08002B2CF9AE}" pid="8" name="MSIP_Label_153db910-0838-4c35-bb3a-1ee21aa199ac_ContentBits">
    <vt:lpwstr>0</vt:lpwstr>
  </property>
  <property fmtid="{D5CDD505-2E9C-101B-9397-08002B2CF9AE}" pid="9" name="MSIP_Label_153db910-0838-4c35-bb3a-1ee21aa199ac_Tag">
    <vt:lpwstr>10, 0, 1, 1</vt:lpwstr>
  </property>
</Properties>
</file>