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E490" w14:textId="77777777" w:rsidR="00FE0F13" w:rsidRPr="00C244AD" w:rsidRDefault="00FE0F13" w:rsidP="00FE0F13">
      <w:pPr>
        <w:pStyle w:val="NoSpacing"/>
        <w:spacing w:line="276" w:lineRule="auto"/>
        <w:jc w:val="center"/>
        <w:rPr>
          <w:rFonts w:ascii="Times New Roman" w:hAnsi="Times New Roman" w:cs="Times New Roman"/>
          <w:b/>
          <w:bCs/>
          <w:sz w:val="24"/>
          <w:szCs w:val="24"/>
          <w:lang w:val="en-US"/>
        </w:rPr>
      </w:pPr>
      <w:r w:rsidRPr="0086571C">
        <w:rPr>
          <w:rFonts w:ascii="Times New Roman" w:hAnsi="Times New Roman" w:cs="Times New Roman"/>
          <w:b/>
          <w:bCs/>
          <w:sz w:val="32"/>
          <w:szCs w:val="32"/>
          <w:lang w:val="en-US"/>
        </w:rPr>
        <w:t xml:space="preserve">Friends of the President on Draft Regulation 103 </w:t>
      </w:r>
      <w:r w:rsidRPr="00C244AD">
        <w:rPr>
          <w:rFonts w:ascii="Times New Roman" w:hAnsi="Times New Roman" w:cs="Times New Roman"/>
          <w:b/>
          <w:bCs/>
          <w:sz w:val="24"/>
          <w:szCs w:val="24"/>
          <w:lang w:val="en-US"/>
        </w:rPr>
        <w:br/>
      </w:r>
    </w:p>
    <w:p w14:paraId="167AABFE" w14:textId="211939AA" w:rsidR="006E2D1F" w:rsidRPr="00F419DB" w:rsidRDefault="00FE0F13" w:rsidP="006E2D1F">
      <w:pPr>
        <w:pStyle w:val="NoSpacing"/>
        <w:spacing w:line="276" w:lineRule="auto"/>
        <w:jc w:val="both"/>
        <w:rPr>
          <w:rFonts w:ascii="Times New Roman" w:hAnsi="Times New Roman" w:cs="Times New Roman"/>
          <w:lang w:val="en-TT"/>
        </w:rPr>
      </w:pPr>
      <w:r w:rsidRPr="00F419DB">
        <w:rPr>
          <w:rFonts w:ascii="Times New Roman" w:hAnsi="Times New Roman" w:cs="Times New Roman"/>
          <w:lang w:val="en-TT"/>
        </w:rPr>
        <w:t xml:space="preserve">This document contains a draft </w:t>
      </w:r>
      <w:r>
        <w:rPr>
          <w:rFonts w:ascii="Times New Roman" w:hAnsi="Times New Roman" w:cs="Times New Roman"/>
          <w:lang w:val="en-TT"/>
        </w:rPr>
        <w:t xml:space="preserve">textual proposal </w:t>
      </w:r>
      <w:r w:rsidRPr="00F419DB">
        <w:rPr>
          <w:rFonts w:ascii="Times New Roman" w:hAnsi="Times New Roman" w:cs="Times New Roman"/>
          <w:lang w:val="en-TT"/>
        </w:rPr>
        <w:t xml:space="preserve">for a revised DR 103. </w:t>
      </w:r>
      <w:r w:rsidR="006E2D1F" w:rsidRPr="00F419DB">
        <w:rPr>
          <w:rFonts w:ascii="Times New Roman" w:hAnsi="Times New Roman" w:cs="Times New Roman"/>
          <w:lang w:val="en-TT"/>
        </w:rPr>
        <w:t>Th</w:t>
      </w:r>
      <w:r w:rsidR="006E2D1F">
        <w:rPr>
          <w:rFonts w:ascii="Times New Roman" w:hAnsi="Times New Roman" w:cs="Times New Roman"/>
          <w:lang w:val="en-TT"/>
        </w:rPr>
        <w:t>e</w:t>
      </w:r>
      <w:r w:rsidR="006E2D1F">
        <w:rPr>
          <w:rFonts w:ascii="Times New Roman" w:hAnsi="Times New Roman" w:cs="Times New Roman"/>
          <w:lang w:val="en-TT"/>
        </w:rPr>
        <w:t xml:space="preserve"> draft </w:t>
      </w:r>
      <w:r w:rsidR="006E2D1F">
        <w:rPr>
          <w:rFonts w:ascii="Times New Roman" w:hAnsi="Times New Roman" w:cs="Times New Roman"/>
          <w:lang w:val="en-TT"/>
        </w:rPr>
        <w:t xml:space="preserve">textual proposal </w:t>
      </w:r>
      <w:r w:rsidR="006E2D1F">
        <w:rPr>
          <w:rFonts w:ascii="Times New Roman" w:hAnsi="Times New Roman" w:cs="Times New Roman"/>
          <w:lang w:val="en-TT"/>
        </w:rPr>
        <w:t xml:space="preserve">incorporates comments made by the Friends of the President group in response to the </w:t>
      </w:r>
      <w:r w:rsidR="006E2D1F" w:rsidRPr="00F419DB">
        <w:rPr>
          <w:rFonts w:ascii="Times New Roman" w:hAnsi="Times New Roman" w:cs="Times New Roman"/>
          <w:lang w:val="en-TT"/>
        </w:rPr>
        <w:t xml:space="preserve">draft skeleton </w:t>
      </w:r>
      <w:r w:rsidR="006E2D1F">
        <w:rPr>
          <w:rFonts w:ascii="Times New Roman" w:hAnsi="Times New Roman" w:cs="Times New Roman"/>
          <w:lang w:val="en-TT"/>
        </w:rPr>
        <w:t>circulated by the organizers on 31 October 2025</w:t>
      </w:r>
      <w:r w:rsidR="006E2D1F" w:rsidRPr="00F419DB">
        <w:rPr>
          <w:rFonts w:ascii="Times New Roman" w:hAnsi="Times New Roman" w:cs="Times New Roman"/>
          <w:lang w:val="en-TT"/>
        </w:rPr>
        <w:t xml:space="preserve">. </w:t>
      </w:r>
      <w:r w:rsidR="006E2D1F">
        <w:rPr>
          <w:rFonts w:ascii="Times New Roman" w:hAnsi="Times New Roman" w:cs="Times New Roman"/>
          <w:lang w:val="en-TT"/>
        </w:rPr>
        <w:t>It</w:t>
      </w:r>
      <w:r w:rsidR="006E2D1F" w:rsidRPr="00F419DB">
        <w:rPr>
          <w:rFonts w:ascii="Times New Roman" w:hAnsi="Times New Roman" w:cs="Times New Roman"/>
          <w:lang w:val="en-TT"/>
        </w:rPr>
        <w:t xml:space="preserve"> is without prejudice </w:t>
      </w:r>
      <w:r w:rsidR="006E2D1F">
        <w:rPr>
          <w:rFonts w:ascii="Times New Roman" w:hAnsi="Times New Roman" w:cs="Times New Roman"/>
          <w:lang w:val="en-TT"/>
        </w:rPr>
        <w:t xml:space="preserve">and subject to </w:t>
      </w:r>
      <w:r w:rsidR="006E2D1F" w:rsidRPr="00F419DB">
        <w:rPr>
          <w:rFonts w:ascii="Times New Roman" w:hAnsi="Times New Roman" w:cs="Times New Roman"/>
          <w:lang w:val="en-TT"/>
        </w:rPr>
        <w:t xml:space="preserve">your review. </w:t>
      </w:r>
    </w:p>
    <w:p w14:paraId="4D984E4A" w14:textId="7B24E704" w:rsidR="006E2D1F" w:rsidRPr="00F419DB" w:rsidRDefault="006E2D1F" w:rsidP="006E2D1F">
      <w:pPr>
        <w:pStyle w:val="NoSpacing"/>
        <w:spacing w:line="276" w:lineRule="auto"/>
        <w:jc w:val="both"/>
        <w:rPr>
          <w:rFonts w:ascii="Times New Roman" w:hAnsi="Times New Roman" w:cs="Times New Roman"/>
          <w:lang w:val="en-TT"/>
        </w:rPr>
      </w:pPr>
    </w:p>
    <w:p w14:paraId="065E449C" w14:textId="2FB1F5FA" w:rsidR="00FE0F13" w:rsidRPr="00F419DB" w:rsidRDefault="00FE0F13" w:rsidP="00FE0F13">
      <w:pPr>
        <w:pStyle w:val="NoSpacing"/>
        <w:spacing w:line="276" w:lineRule="auto"/>
        <w:jc w:val="both"/>
        <w:rPr>
          <w:rFonts w:ascii="Times New Roman" w:hAnsi="Times New Roman" w:cs="Times New Roman"/>
          <w:lang w:val="en-TT"/>
        </w:rPr>
      </w:pPr>
      <w:r w:rsidRPr="00F419DB">
        <w:rPr>
          <w:rFonts w:ascii="Times New Roman" w:hAnsi="Times New Roman" w:cs="Times New Roman"/>
          <w:lang w:val="en-TT"/>
        </w:rPr>
        <w:t>Th</w:t>
      </w:r>
      <w:r w:rsidR="006E2D1F">
        <w:rPr>
          <w:rFonts w:ascii="Times New Roman" w:hAnsi="Times New Roman" w:cs="Times New Roman"/>
          <w:lang w:val="en-TT"/>
        </w:rPr>
        <w:t>is</w:t>
      </w:r>
      <w:r w:rsidRPr="00F419DB">
        <w:rPr>
          <w:rFonts w:ascii="Times New Roman" w:hAnsi="Times New Roman" w:cs="Times New Roman"/>
          <w:lang w:val="en-TT"/>
        </w:rPr>
        <w:t xml:space="preserve"> </w:t>
      </w:r>
      <w:r w:rsidR="006E2D1F">
        <w:rPr>
          <w:rFonts w:ascii="Times New Roman" w:hAnsi="Times New Roman" w:cs="Times New Roman"/>
          <w:lang w:val="en-TT"/>
        </w:rPr>
        <w:t>draft</w:t>
      </w:r>
      <w:r w:rsidRPr="00F419DB">
        <w:rPr>
          <w:rFonts w:ascii="Times New Roman" w:hAnsi="Times New Roman" w:cs="Times New Roman"/>
          <w:lang w:val="en-TT"/>
        </w:rPr>
        <w:t xml:space="preserve"> </w:t>
      </w:r>
      <w:r w:rsidR="006E2D1F">
        <w:rPr>
          <w:rFonts w:ascii="Times New Roman" w:hAnsi="Times New Roman" w:cs="Times New Roman"/>
          <w:lang w:val="en-TT"/>
        </w:rPr>
        <w:t xml:space="preserve">textual proposal </w:t>
      </w:r>
      <w:r w:rsidRPr="00F419DB">
        <w:rPr>
          <w:rFonts w:ascii="Times New Roman" w:hAnsi="Times New Roman" w:cs="Times New Roman"/>
          <w:lang w:val="en-TT"/>
        </w:rPr>
        <w:t>differ</w:t>
      </w:r>
      <w:r w:rsidR="006E2D1F">
        <w:rPr>
          <w:rFonts w:ascii="Times New Roman" w:hAnsi="Times New Roman" w:cs="Times New Roman"/>
          <w:lang w:val="en-TT"/>
        </w:rPr>
        <w:t>s</w:t>
      </w:r>
      <w:r w:rsidRPr="00F419DB">
        <w:rPr>
          <w:rFonts w:ascii="Times New Roman" w:hAnsi="Times New Roman" w:cs="Times New Roman"/>
          <w:lang w:val="en-TT"/>
        </w:rPr>
        <w:t xml:space="preserve"> substantially from the </w:t>
      </w:r>
      <w:r w:rsidR="006E2D1F">
        <w:rPr>
          <w:rFonts w:ascii="Times New Roman" w:hAnsi="Times New Roman" w:cs="Times New Roman"/>
          <w:lang w:val="en-TT"/>
        </w:rPr>
        <w:t>draft skeleton, such that it was difficult to make a compare document.</w:t>
      </w:r>
      <w:r w:rsidRPr="00F419DB">
        <w:rPr>
          <w:rFonts w:ascii="Times New Roman" w:hAnsi="Times New Roman" w:cs="Times New Roman"/>
          <w:lang w:val="en-TT"/>
        </w:rPr>
        <w:t xml:space="preserve"> To explain </w:t>
      </w:r>
      <w:r w:rsidR="006E2D1F">
        <w:rPr>
          <w:rFonts w:ascii="Times New Roman" w:hAnsi="Times New Roman" w:cs="Times New Roman"/>
          <w:lang w:val="en-TT"/>
        </w:rPr>
        <w:t>changes made</w:t>
      </w:r>
      <w:r w:rsidRPr="00F419DB">
        <w:rPr>
          <w:rFonts w:ascii="Times New Roman" w:hAnsi="Times New Roman" w:cs="Times New Roman"/>
          <w:lang w:val="en-TT"/>
        </w:rPr>
        <w:t xml:space="preserve">, each separate Draft Regulation is prefaced by a textbox containing an explanation in the organizers’ notes. </w:t>
      </w:r>
    </w:p>
    <w:p w14:paraId="697ACA2B" w14:textId="77777777" w:rsidR="00FE0F13" w:rsidRPr="00F419DB" w:rsidRDefault="00FE0F13" w:rsidP="00FE0F13">
      <w:pPr>
        <w:pStyle w:val="NoSpacing"/>
        <w:spacing w:line="276" w:lineRule="auto"/>
        <w:jc w:val="both"/>
        <w:rPr>
          <w:rFonts w:ascii="Times New Roman" w:hAnsi="Times New Roman" w:cs="Times New Roman"/>
          <w:lang w:val="en-TT"/>
        </w:rPr>
      </w:pPr>
    </w:p>
    <w:p w14:paraId="01A04220" w14:textId="77777777" w:rsidR="00FE0F13" w:rsidRDefault="00FE0F13" w:rsidP="00FE0F13">
      <w:pPr>
        <w:suppressAutoHyphens w:val="0"/>
        <w:spacing w:after="160" w:line="278" w:lineRule="auto"/>
        <w:jc w:val="center"/>
        <w:rPr>
          <w:b/>
          <w:bCs/>
          <w:sz w:val="24"/>
          <w:szCs w:val="24"/>
          <w:lang w:val="en-US"/>
        </w:rPr>
      </w:pPr>
      <w:r>
        <w:rPr>
          <w:b/>
          <w:bCs/>
          <w:sz w:val="24"/>
          <w:szCs w:val="24"/>
          <w:lang w:val="en-US"/>
        </w:rPr>
        <w:t xml:space="preserve">* </w:t>
      </w:r>
      <w:r>
        <w:rPr>
          <w:b/>
          <w:bCs/>
          <w:sz w:val="24"/>
          <w:szCs w:val="24"/>
          <w:lang w:val="en-US"/>
        </w:rPr>
        <w:tab/>
        <w:t>*</w:t>
      </w:r>
      <w:r>
        <w:rPr>
          <w:b/>
          <w:bCs/>
          <w:sz w:val="24"/>
          <w:szCs w:val="24"/>
          <w:lang w:val="en-US"/>
        </w:rPr>
        <w:tab/>
        <w:t>*</w:t>
      </w:r>
    </w:p>
    <w:p w14:paraId="6C9E1D30" w14:textId="7F1FCB5D" w:rsidR="00FE207C" w:rsidRDefault="00855DD9" w:rsidP="00F71A0A">
      <w:pPr>
        <w:suppressAutoHyphens w:val="0"/>
        <w:spacing w:after="160" w:line="278" w:lineRule="auto"/>
        <w:rPr>
          <w:b/>
          <w:bCs/>
          <w:sz w:val="24"/>
          <w:szCs w:val="24"/>
          <w:lang w:val="en-US"/>
        </w:rPr>
      </w:pPr>
      <w:r>
        <w:rPr>
          <w:b/>
          <w:bCs/>
          <w:sz w:val="24"/>
          <w:szCs w:val="24"/>
          <w:lang w:val="en-US"/>
        </w:rPr>
        <w:t xml:space="preserve">Section 3 </w:t>
      </w:r>
    </w:p>
    <w:p w14:paraId="1B7E9C56" w14:textId="77FA505D" w:rsidR="00855DD9" w:rsidRDefault="00855DD9" w:rsidP="00866495">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Enforcement and penalties </w:t>
      </w:r>
    </w:p>
    <w:p w14:paraId="217EFC25" w14:textId="77777777" w:rsidR="00855DD9" w:rsidRDefault="00855DD9" w:rsidP="00866495">
      <w:pPr>
        <w:pStyle w:val="NoSpacing"/>
        <w:spacing w:line="276" w:lineRule="auto"/>
        <w:rPr>
          <w:rFonts w:ascii="Times New Roman" w:hAnsi="Times New Roman" w:cs="Times New Roman"/>
          <w:b/>
          <w:bCs/>
          <w:sz w:val="24"/>
          <w:szCs w:val="24"/>
          <w:lang w:val="en-US"/>
        </w:rPr>
      </w:pPr>
    </w:p>
    <w:p w14:paraId="046DB0AF" w14:textId="4E482E9E" w:rsidR="00F419DB" w:rsidRDefault="00866495" w:rsidP="00866495">
      <w:pPr>
        <w:pStyle w:val="NoSpacing"/>
        <w:spacing w:line="276" w:lineRule="auto"/>
        <w:rPr>
          <w:rFonts w:ascii="Times New Roman" w:hAnsi="Times New Roman" w:cs="Times New Roman"/>
          <w:b/>
          <w:bCs/>
          <w:sz w:val="24"/>
          <w:szCs w:val="24"/>
          <w:lang w:val="en-US"/>
        </w:rPr>
      </w:pPr>
      <w:r w:rsidRPr="00855DD9">
        <w:rPr>
          <w:rFonts w:ascii="Times New Roman" w:hAnsi="Times New Roman" w:cs="Times New Roman"/>
          <w:b/>
          <w:bCs/>
          <w:sz w:val="24"/>
          <w:szCs w:val="24"/>
          <w:lang w:val="en-US"/>
        </w:rPr>
        <w:t xml:space="preserve">Regulation </w:t>
      </w:r>
      <w:r w:rsidR="004C6619">
        <w:rPr>
          <w:rFonts w:ascii="Times New Roman" w:hAnsi="Times New Roman" w:cs="Times New Roman"/>
          <w:b/>
          <w:bCs/>
          <w:sz w:val="24"/>
          <w:szCs w:val="24"/>
          <w:lang w:val="en-US"/>
        </w:rPr>
        <w:t>103</w:t>
      </w:r>
    </w:p>
    <w:p w14:paraId="007D504A" w14:textId="543CC70A" w:rsidR="002107DF" w:rsidRDefault="0054408A" w:rsidP="00866495">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Compliance and e</w:t>
      </w:r>
      <w:r w:rsidR="002107DF">
        <w:rPr>
          <w:rFonts w:ascii="Times New Roman" w:hAnsi="Times New Roman" w:cs="Times New Roman"/>
          <w:b/>
          <w:bCs/>
          <w:sz w:val="24"/>
          <w:szCs w:val="24"/>
          <w:lang w:val="en-US"/>
        </w:rPr>
        <w:t xml:space="preserve">nforcement </w:t>
      </w:r>
      <w:r>
        <w:rPr>
          <w:rFonts w:ascii="Times New Roman" w:hAnsi="Times New Roman" w:cs="Times New Roman"/>
          <w:b/>
          <w:bCs/>
          <w:sz w:val="24"/>
          <w:szCs w:val="24"/>
          <w:lang w:val="en-US"/>
        </w:rPr>
        <w:t xml:space="preserve">measures </w:t>
      </w:r>
      <w:r w:rsidR="002107DF">
        <w:rPr>
          <w:rFonts w:ascii="Times New Roman" w:hAnsi="Times New Roman" w:cs="Times New Roman"/>
          <w:b/>
          <w:bCs/>
          <w:sz w:val="24"/>
          <w:szCs w:val="24"/>
          <w:lang w:val="en-US"/>
        </w:rPr>
        <w:t xml:space="preserve">by the </w:t>
      </w:r>
      <w:r w:rsidR="002107DF" w:rsidRPr="005143CF">
        <w:rPr>
          <w:rFonts w:ascii="Times New Roman" w:hAnsi="Times New Roman" w:cs="Times New Roman"/>
          <w:b/>
          <w:bCs/>
          <w:sz w:val="24"/>
          <w:szCs w:val="24"/>
          <w:lang w:val="en-US"/>
        </w:rPr>
        <w:t>Compliance Committee</w:t>
      </w:r>
    </w:p>
    <w:p w14:paraId="78E1A753" w14:textId="6A36C180" w:rsidR="004C6619" w:rsidRDefault="004C6619" w:rsidP="00866495">
      <w:pPr>
        <w:pStyle w:val="NoSpacing"/>
        <w:spacing w:line="276" w:lineRule="auto"/>
        <w:rPr>
          <w:rFonts w:ascii="Times New Roman" w:hAnsi="Times New Roman" w:cs="Times New Roman"/>
          <w:b/>
          <w:bCs/>
          <w:sz w:val="24"/>
          <w:szCs w:val="24"/>
          <w:lang w:val="en-US"/>
        </w:rPr>
      </w:pPr>
    </w:p>
    <w:p w14:paraId="760CBB13" w14:textId="1C3C06B5" w:rsidR="00C6380A" w:rsidRDefault="00C6380A" w:rsidP="00866495">
      <w:pPr>
        <w:pStyle w:val="NoSpacing"/>
        <w:spacing w:line="276" w:lineRule="auto"/>
        <w:rPr>
          <w:rFonts w:ascii="Times New Roman" w:hAnsi="Times New Roman" w:cs="Times New Roman"/>
          <w:b/>
          <w:bCs/>
          <w:sz w:val="24"/>
          <w:szCs w:val="24"/>
          <w:lang w:val="en-US"/>
        </w:rPr>
      </w:pPr>
      <w:r w:rsidRPr="004146A3">
        <w:rPr>
          <w:rFonts w:ascii="Times New Roman" w:hAnsi="Times New Roman" w:cs="Times New Roman"/>
          <w:noProof/>
          <w:color w:val="215E99" w:themeColor="text2" w:themeTint="BF"/>
          <w:lang w:val="en-US"/>
        </w:rPr>
        <mc:AlternateContent>
          <mc:Choice Requires="wps">
            <w:drawing>
              <wp:inline distT="0" distB="0" distL="0" distR="0" wp14:anchorId="45DA2139" wp14:editId="23AAA362">
                <wp:extent cx="5694045" cy="4476903"/>
                <wp:effectExtent l="0" t="0" r="20955" b="19050"/>
                <wp:docPr id="2128574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476903"/>
                        </a:xfrm>
                        <a:prstGeom prst="rect">
                          <a:avLst/>
                        </a:prstGeom>
                        <a:solidFill>
                          <a:schemeClr val="bg1">
                            <a:lumMod val="85000"/>
                          </a:schemeClr>
                        </a:solidFill>
                        <a:ln w="9525">
                          <a:solidFill>
                            <a:srgbClr val="000000"/>
                          </a:solidFill>
                          <a:miter lim="800000"/>
                          <a:headEnd/>
                          <a:tailEnd/>
                        </a:ln>
                      </wps:spPr>
                      <wps:txbx>
                        <w:txbxContent>
                          <w:p w14:paraId="6171B55F" w14:textId="77777777" w:rsidR="00C6380A" w:rsidRPr="00CA737D" w:rsidRDefault="00C6380A" w:rsidP="00C6380A">
                            <w:pPr>
                              <w:rPr>
                                <w:b/>
                                <w:bCs/>
                                <w:sz w:val="22"/>
                                <w:szCs w:val="22"/>
                              </w:rPr>
                            </w:pPr>
                            <w:r w:rsidRPr="00CA737D">
                              <w:rPr>
                                <w:b/>
                                <w:bCs/>
                                <w:sz w:val="22"/>
                                <w:szCs w:val="22"/>
                              </w:rPr>
                              <w:t>Organizers’ notes:</w:t>
                            </w:r>
                          </w:p>
                          <w:p w14:paraId="6247E5E3" w14:textId="77777777" w:rsidR="00C6380A" w:rsidRPr="00CA737D" w:rsidRDefault="00C6380A" w:rsidP="00C6380A">
                            <w:pPr>
                              <w:rPr>
                                <w:b/>
                                <w:bCs/>
                                <w:sz w:val="22"/>
                                <w:szCs w:val="22"/>
                              </w:rPr>
                            </w:pPr>
                          </w:p>
                          <w:p w14:paraId="7B4B1046" w14:textId="77777777" w:rsidR="00C6380A" w:rsidRPr="00CA737D" w:rsidRDefault="00C6380A" w:rsidP="00C6380A">
                            <w:pPr>
                              <w:rPr>
                                <w:sz w:val="22"/>
                                <w:szCs w:val="22"/>
                              </w:rPr>
                            </w:pPr>
                            <w:r>
                              <w:rPr>
                                <w:sz w:val="22"/>
                                <w:szCs w:val="22"/>
                              </w:rPr>
                              <w:t>The</w:t>
                            </w:r>
                            <w:r w:rsidRPr="00CA737D">
                              <w:rPr>
                                <w:sz w:val="22"/>
                                <w:szCs w:val="22"/>
                              </w:rPr>
                              <w:t xml:space="preserve"> new DR 103</w:t>
                            </w:r>
                            <w:r>
                              <w:rPr>
                                <w:sz w:val="22"/>
                                <w:szCs w:val="22"/>
                              </w:rPr>
                              <w:t xml:space="preserve"> has been amended as follows</w:t>
                            </w:r>
                            <w:r w:rsidRPr="00CA737D">
                              <w:rPr>
                                <w:sz w:val="22"/>
                                <w:szCs w:val="22"/>
                              </w:rPr>
                              <w:t>:</w:t>
                            </w:r>
                          </w:p>
                          <w:p w14:paraId="09BC5355" w14:textId="77777777" w:rsidR="00C6380A" w:rsidRPr="00CA737D" w:rsidRDefault="00C6380A" w:rsidP="00C6380A">
                            <w:pPr>
                              <w:rPr>
                                <w:sz w:val="22"/>
                                <w:szCs w:val="22"/>
                              </w:rPr>
                            </w:pPr>
                          </w:p>
                          <w:p w14:paraId="18D587C6" w14:textId="77777777" w:rsidR="00C6380A" w:rsidRPr="006E2D1F" w:rsidRDefault="00C6380A" w:rsidP="00C6380A">
                            <w:pPr>
                              <w:pStyle w:val="ListParagraph"/>
                              <w:numPr>
                                <w:ilvl w:val="0"/>
                                <w:numId w:val="26"/>
                              </w:numPr>
                              <w:rPr>
                                <w:b/>
                                <w:bCs/>
                                <w:sz w:val="22"/>
                                <w:szCs w:val="22"/>
                              </w:rPr>
                            </w:pPr>
                            <w:r>
                              <w:rPr>
                                <w:sz w:val="22"/>
                                <w:szCs w:val="22"/>
                              </w:rPr>
                              <w:t>The title of the Regulation now also refers to compliance measures;</w:t>
                            </w:r>
                          </w:p>
                          <w:p w14:paraId="52C66AA1" w14:textId="77777777" w:rsidR="00C6380A" w:rsidRPr="006E2D1F" w:rsidRDefault="00C6380A" w:rsidP="00C6380A">
                            <w:pPr>
                              <w:pStyle w:val="ListParagraph"/>
                              <w:numPr>
                                <w:ilvl w:val="0"/>
                                <w:numId w:val="26"/>
                              </w:numPr>
                              <w:rPr>
                                <w:b/>
                                <w:bCs/>
                                <w:sz w:val="22"/>
                                <w:szCs w:val="22"/>
                              </w:rPr>
                            </w:pPr>
                            <w:r>
                              <w:rPr>
                                <w:sz w:val="22"/>
                                <w:szCs w:val="22"/>
                              </w:rPr>
                              <w:t>Paragraph 1 now provides that the Compliance Committee requires evidence to reach a conclusion that triggers its competences under these Regulations. Further changes to the wording have been made to clarify paragraph 1;</w:t>
                            </w:r>
                          </w:p>
                          <w:p w14:paraId="6CF14A6B" w14:textId="77777777" w:rsidR="00397F97" w:rsidRPr="00397F97" w:rsidRDefault="00C6380A" w:rsidP="00C6380A">
                            <w:pPr>
                              <w:pStyle w:val="ListParagraph"/>
                              <w:numPr>
                                <w:ilvl w:val="0"/>
                                <w:numId w:val="26"/>
                              </w:numPr>
                              <w:rPr>
                                <w:b/>
                                <w:bCs/>
                                <w:sz w:val="22"/>
                                <w:szCs w:val="22"/>
                              </w:rPr>
                            </w:pPr>
                            <w:r>
                              <w:rPr>
                                <w:sz w:val="22"/>
                                <w:szCs w:val="22"/>
                              </w:rPr>
                              <w:t xml:space="preserve">Paragraphs 2 and 3 now described the measures which the Compliance Committee can take or recommend. In the draft skeleton, those were described in a later Regulation, but the FOP requested these to be moved forward. As the request of the FOP, a clear delineation has also been made between measures which the Compliance Committee can take directly and which measures it must recommend to the Council. </w:t>
                            </w:r>
                          </w:p>
                          <w:p w14:paraId="4F558529" w14:textId="77777777" w:rsidR="00397F97" w:rsidRPr="00397F97" w:rsidRDefault="00397F97" w:rsidP="00C6380A">
                            <w:pPr>
                              <w:pStyle w:val="ListParagraph"/>
                              <w:numPr>
                                <w:ilvl w:val="0"/>
                                <w:numId w:val="26"/>
                              </w:numPr>
                              <w:rPr>
                                <w:b/>
                                <w:bCs/>
                                <w:sz w:val="22"/>
                                <w:szCs w:val="22"/>
                              </w:rPr>
                            </w:pPr>
                            <w:r>
                              <w:rPr>
                                <w:sz w:val="22"/>
                                <w:szCs w:val="22"/>
                              </w:rPr>
                              <w:t xml:space="preserve">Paragraph 2 contains an amended list of measures. </w:t>
                            </w:r>
                          </w:p>
                          <w:p w14:paraId="20F58911" w14:textId="14C1429D" w:rsidR="00C6380A" w:rsidRPr="00C6380A" w:rsidRDefault="00397F97" w:rsidP="00C6380A">
                            <w:pPr>
                              <w:pStyle w:val="ListParagraph"/>
                              <w:numPr>
                                <w:ilvl w:val="0"/>
                                <w:numId w:val="26"/>
                              </w:numPr>
                              <w:rPr>
                                <w:b/>
                                <w:bCs/>
                                <w:sz w:val="22"/>
                                <w:szCs w:val="22"/>
                              </w:rPr>
                            </w:pPr>
                            <w:r>
                              <w:rPr>
                                <w:sz w:val="22"/>
                                <w:szCs w:val="22"/>
                              </w:rPr>
                              <w:t>Paragraph 3 contains a reference to emergency orders in brackets, as the organizers are of the understanding that – also with respect to DR 102 – the question whether the Compliance Committee can also recommend emergency orders requires further negotiations.</w:t>
                            </w:r>
                            <w:r w:rsidR="00C6380A">
                              <w:rPr>
                                <w:sz w:val="22"/>
                                <w:szCs w:val="22"/>
                              </w:rPr>
                              <w:t xml:space="preserve"> </w:t>
                            </w:r>
                          </w:p>
                          <w:p w14:paraId="06981E35" w14:textId="77777777" w:rsidR="00C6380A" w:rsidRPr="00C6380A" w:rsidRDefault="00C6380A" w:rsidP="00C6380A">
                            <w:pPr>
                              <w:pStyle w:val="ListParagraph"/>
                              <w:numPr>
                                <w:ilvl w:val="0"/>
                                <w:numId w:val="26"/>
                              </w:numPr>
                              <w:rPr>
                                <w:b/>
                                <w:bCs/>
                                <w:sz w:val="22"/>
                                <w:szCs w:val="22"/>
                              </w:rPr>
                            </w:pPr>
                            <w:r>
                              <w:rPr>
                                <w:sz w:val="22"/>
                                <w:szCs w:val="22"/>
                              </w:rPr>
                              <w:t xml:space="preserve">Paragraph 4 has been taken from another Regulation in the draft skeleton. Paragraph 4 builds on paragraphs 2 and 3. </w:t>
                            </w:r>
                          </w:p>
                          <w:p w14:paraId="14CB803E" w14:textId="77777777" w:rsidR="00C6380A" w:rsidRPr="00C6380A" w:rsidRDefault="00C6380A" w:rsidP="00C6380A">
                            <w:pPr>
                              <w:pStyle w:val="ListParagraph"/>
                              <w:numPr>
                                <w:ilvl w:val="0"/>
                                <w:numId w:val="26"/>
                              </w:numPr>
                              <w:rPr>
                                <w:b/>
                                <w:bCs/>
                                <w:sz w:val="22"/>
                                <w:szCs w:val="22"/>
                              </w:rPr>
                            </w:pPr>
                            <w:r>
                              <w:rPr>
                                <w:sz w:val="22"/>
                                <w:szCs w:val="22"/>
                              </w:rPr>
                              <w:t>Paragraph 5 has been included as the FOP considered at the second meeting that it would be desirable not to be too prescriptive with respect to such procedures in the Regulations, but leave this up for a Standard.</w:t>
                            </w:r>
                          </w:p>
                          <w:p w14:paraId="5E038BB6" w14:textId="77777777" w:rsidR="00C6380A" w:rsidRPr="00C6380A" w:rsidRDefault="00C6380A" w:rsidP="00C6380A">
                            <w:pPr>
                              <w:pStyle w:val="ListParagraph"/>
                              <w:numPr>
                                <w:ilvl w:val="0"/>
                                <w:numId w:val="26"/>
                              </w:numPr>
                              <w:rPr>
                                <w:b/>
                                <w:bCs/>
                                <w:sz w:val="22"/>
                                <w:szCs w:val="22"/>
                              </w:rPr>
                            </w:pPr>
                            <w:r>
                              <w:rPr>
                                <w:sz w:val="22"/>
                                <w:szCs w:val="22"/>
                              </w:rPr>
                              <w:t>Paragraph 6</w:t>
                            </w:r>
                            <w:r w:rsidRPr="00C6380A">
                              <w:rPr>
                                <w:sz w:val="22"/>
                                <w:szCs w:val="22"/>
                              </w:rPr>
                              <w:t xml:space="preserve"> </w:t>
                            </w:r>
                            <w:r>
                              <w:rPr>
                                <w:sz w:val="22"/>
                                <w:szCs w:val="22"/>
                              </w:rPr>
                              <w:t>has been taken from another Regulation and is now more correctly drafted.</w:t>
                            </w:r>
                          </w:p>
                          <w:p w14:paraId="4913A001" w14:textId="77777777" w:rsidR="00C6380A" w:rsidRPr="00C6380A" w:rsidRDefault="00C6380A" w:rsidP="00C6380A">
                            <w:pPr>
                              <w:pStyle w:val="ListParagraph"/>
                              <w:numPr>
                                <w:ilvl w:val="0"/>
                                <w:numId w:val="26"/>
                              </w:numPr>
                              <w:rPr>
                                <w:b/>
                                <w:bCs/>
                                <w:sz w:val="22"/>
                                <w:szCs w:val="22"/>
                                <w:lang w:val="fr-FR"/>
                              </w:rPr>
                            </w:pPr>
                            <w:proofErr w:type="spellStart"/>
                            <w:r w:rsidRPr="00C6380A">
                              <w:rPr>
                                <w:sz w:val="22"/>
                                <w:szCs w:val="22"/>
                                <w:lang w:val="fr-FR"/>
                              </w:rPr>
                              <w:t>Paragraph</w:t>
                            </w:r>
                            <w:proofErr w:type="spellEnd"/>
                            <w:r w:rsidRPr="00C6380A">
                              <w:rPr>
                                <w:sz w:val="22"/>
                                <w:szCs w:val="22"/>
                                <w:lang w:val="fr-FR"/>
                              </w:rPr>
                              <w:t xml:space="preserve"> 7 </w:t>
                            </w:r>
                            <w:proofErr w:type="spellStart"/>
                            <w:r w:rsidRPr="00C6380A">
                              <w:rPr>
                                <w:sz w:val="22"/>
                                <w:szCs w:val="22"/>
                                <w:lang w:val="fr-FR"/>
                              </w:rPr>
                              <w:t>contains</w:t>
                            </w:r>
                            <w:proofErr w:type="spellEnd"/>
                            <w:r w:rsidRPr="00C6380A">
                              <w:rPr>
                                <w:sz w:val="22"/>
                                <w:szCs w:val="22"/>
                                <w:lang w:val="fr-FR"/>
                              </w:rPr>
                              <w:t xml:space="preserve"> certain </w:t>
                            </w:r>
                            <w:proofErr w:type="spellStart"/>
                            <w:r w:rsidRPr="00C6380A">
                              <w:rPr>
                                <w:sz w:val="22"/>
                                <w:szCs w:val="22"/>
                                <w:lang w:val="fr-FR"/>
                              </w:rPr>
                              <w:t>due</w:t>
                            </w:r>
                            <w:proofErr w:type="spellEnd"/>
                            <w:r w:rsidRPr="00C6380A">
                              <w:rPr>
                                <w:sz w:val="22"/>
                                <w:szCs w:val="22"/>
                                <w:lang w:val="fr-FR"/>
                              </w:rPr>
                              <w:t xml:space="preserve"> pr</w:t>
                            </w:r>
                            <w:r>
                              <w:rPr>
                                <w:sz w:val="22"/>
                                <w:szCs w:val="22"/>
                                <w:lang w:val="fr-FR"/>
                              </w:rPr>
                              <w:t xml:space="preserve">ocess </w:t>
                            </w:r>
                            <w:proofErr w:type="spellStart"/>
                            <w:r>
                              <w:rPr>
                                <w:sz w:val="22"/>
                                <w:szCs w:val="22"/>
                                <w:lang w:val="fr-FR"/>
                              </w:rPr>
                              <w:t>requirements</w:t>
                            </w:r>
                            <w:proofErr w:type="spellEnd"/>
                            <w:r>
                              <w:rPr>
                                <w:sz w:val="22"/>
                                <w:szCs w:val="22"/>
                                <w:lang w:val="fr-FR"/>
                              </w:rPr>
                              <w:t xml:space="preserve">. </w:t>
                            </w:r>
                          </w:p>
                          <w:p w14:paraId="10EE2CDE" w14:textId="77777777" w:rsidR="00C6380A" w:rsidRPr="00C6380A" w:rsidRDefault="00C6380A" w:rsidP="00C6380A">
                            <w:pPr>
                              <w:pStyle w:val="ListParagraph"/>
                              <w:numPr>
                                <w:ilvl w:val="0"/>
                                <w:numId w:val="26"/>
                              </w:numPr>
                              <w:rPr>
                                <w:b/>
                                <w:bCs/>
                                <w:sz w:val="22"/>
                                <w:szCs w:val="22"/>
                                <w:lang w:val="en-US"/>
                              </w:rPr>
                            </w:pPr>
                            <w:r w:rsidRPr="00C6380A">
                              <w:rPr>
                                <w:sz w:val="22"/>
                                <w:szCs w:val="22"/>
                                <w:lang w:val="en-US"/>
                              </w:rPr>
                              <w:t>Paragraph 8 introduces the notion o</w:t>
                            </w:r>
                            <w:r>
                              <w:rPr>
                                <w:sz w:val="22"/>
                                <w:szCs w:val="22"/>
                                <w:lang w:val="en-US"/>
                              </w:rPr>
                              <w:t>f Non-Compliance Notices.</w:t>
                            </w:r>
                          </w:p>
                        </w:txbxContent>
                      </wps:txbx>
                      <wps:bodyPr rot="0" vert="horz" wrap="square" lIns="91440" tIns="45720" rIns="91440" bIns="45720" anchor="t" anchorCtr="0">
                        <a:noAutofit/>
                      </wps:bodyPr>
                    </wps:wsp>
                  </a:graphicData>
                </a:graphic>
              </wp:inline>
            </w:drawing>
          </mc:Choice>
          <mc:Fallback>
            <w:pict>
              <v:shapetype w14:anchorId="45DA2139" id="_x0000_t202" coordsize="21600,21600" o:spt="202" path="m,l,21600r21600,l21600,xe">
                <v:stroke joinstyle="miter"/>
                <v:path gradientshapeok="t" o:connecttype="rect"/>
              </v:shapetype>
              <v:shape id="Text Box 2" o:spid="_x0000_s1026" type="#_x0000_t202" style="width:448.3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" fillcolor="#d8d8d8 [2732]">
                <v:textbox>
                  <w:txbxContent>
                    <w:p w14:paraId="6171B55F" w14:textId="77777777" w:rsidR="00C6380A" w:rsidRPr="00CA737D" w:rsidRDefault="00C6380A" w:rsidP="00C6380A">
                      <w:pPr>
                        <w:rPr>
                          <w:b/>
                          <w:bCs/>
                          <w:sz w:val="22"/>
                          <w:szCs w:val="22"/>
                        </w:rPr>
                      </w:pPr>
                      <w:r w:rsidRPr="00CA737D">
                        <w:rPr>
                          <w:b/>
                          <w:bCs/>
                          <w:sz w:val="22"/>
                          <w:szCs w:val="22"/>
                        </w:rPr>
                        <w:t>Organizers’ notes:</w:t>
                      </w:r>
                    </w:p>
                    <w:p w14:paraId="6247E5E3" w14:textId="77777777" w:rsidR="00C6380A" w:rsidRPr="00CA737D" w:rsidRDefault="00C6380A" w:rsidP="00C6380A">
                      <w:pPr>
                        <w:rPr>
                          <w:b/>
                          <w:bCs/>
                          <w:sz w:val="22"/>
                          <w:szCs w:val="22"/>
                        </w:rPr>
                      </w:pPr>
                    </w:p>
                    <w:p w14:paraId="7B4B1046" w14:textId="77777777" w:rsidR="00C6380A" w:rsidRPr="00CA737D" w:rsidRDefault="00C6380A" w:rsidP="00C6380A">
                      <w:pPr>
                        <w:rPr>
                          <w:sz w:val="22"/>
                          <w:szCs w:val="22"/>
                        </w:rPr>
                      </w:pPr>
                      <w:r>
                        <w:rPr>
                          <w:sz w:val="22"/>
                          <w:szCs w:val="22"/>
                        </w:rPr>
                        <w:t>The</w:t>
                      </w:r>
                      <w:r w:rsidRPr="00CA737D">
                        <w:rPr>
                          <w:sz w:val="22"/>
                          <w:szCs w:val="22"/>
                        </w:rPr>
                        <w:t xml:space="preserve"> new DR 103</w:t>
                      </w:r>
                      <w:r>
                        <w:rPr>
                          <w:sz w:val="22"/>
                          <w:szCs w:val="22"/>
                        </w:rPr>
                        <w:t xml:space="preserve"> has been amended as follows</w:t>
                      </w:r>
                      <w:r w:rsidRPr="00CA737D">
                        <w:rPr>
                          <w:sz w:val="22"/>
                          <w:szCs w:val="22"/>
                        </w:rPr>
                        <w:t>:</w:t>
                      </w:r>
                    </w:p>
                    <w:p w14:paraId="09BC5355" w14:textId="77777777" w:rsidR="00C6380A" w:rsidRPr="00CA737D" w:rsidRDefault="00C6380A" w:rsidP="00C6380A">
                      <w:pPr>
                        <w:rPr>
                          <w:sz w:val="22"/>
                          <w:szCs w:val="22"/>
                        </w:rPr>
                      </w:pPr>
                    </w:p>
                    <w:p w14:paraId="18D587C6" w14:textId="77777777" w:rsidR="00C6380A" w:rsidRPr="006E2D1F" w:rsidRDefault="00C6380A" w:rsidP="00C6380A">
                      <w:pPr>
                        <w:pStyle w:val="ListParagraph"/>
                        <w:numPr>
                          <w:ilvl w:val="0"/>
                          <w:numId w:val="26"/>
                        </w:numPr>
                        <w:rPr>
                          <w:b/>
                          <w:bCs/>
                          <w:sz w:val="22"/>
                          <w:szCs w:val="22"/>
                        </w:rPr>
                      </w:pPr>
                      <w:r>
                        <w:rPr>
                          <w:sz w:val="22"/>
                          <w:szCs w:val="22"/>
                        </w:rPr>
                        <w:t>The title of the Regulation now also refers to compliance measures;</w:t>
                      </w:r>
                    </w:p>
                    <w:p w14:paraId="52C66AA1" w14:textId="77777777" w:rsidR="00C6380A" w:rsidRPr="006E2D1F" w:rsidRDefault="00C6380A" w:rsidP="00C6380A">
                      <w:pPr>
                        <w:pStyle w:val="ListParagraph"/>
                        <w:numPr>
                          <w:ilvl w:val="0"/>
                          <w:numId w:val="26"/>
                        </w:numPr>
                        <w:rPr>
                          <w:b/>
                          <w:bCs/>
                          <w:sz w:val="22"/>
                          <w:szCs w:val="22"/>
                        </w:rPr>
                      </w:pPr>
                      <w:r>
                        <w:rPr>
                          <w:sz w:val="22"/>
                          <w:szCs w:val="22"/>
                        </w:rPr>
                        <w:t>Paragraph 1 now provides that the Compliance Committee requires evidence to reach a conclusion that triggers its competences under these Regulations. Further changes to the wording have been made to clarify paragraph 1;</w:t>
                      </w:r>
                    </w:p>
                    <w:p w14:paraId="6CF14A6B" w14:textId="77777777" w:rsidR="00397F97" w:rsidRPr="00397F97" w:rsidRDefault="00C6380A" w:rsidP="00C6380A">
                      <w:pPr>
                        <w:pStyle w:val="ListParagraph"/>
                        <w:numPr>
                          <w:ilvl w:val="0"/>
                          <w:numId w:val="26"/>
                        </w:numPr>
                        <w:rPr>
                          <w:b/>
                          <w:bCs/>
                          <w:sz w:val="22"/>
                          <w:szCs w:val="22"/>
                        </w:rPr>
                      </w:pPr>
                      <w:r>
                        <w:rPr>
                          <w:sz w:val="22"/>
                          <w:szCs w:val="22"/>
                        </w:rPr>
                        <w:t xml:space="preserve">Paragraphs 2 and 3 now described the measures which the Compliance Committee can take or recommend. In the draft skeleton, those were described in a later Regulation, but the FOP requested these to be moved forward. As the request of the FOP, a clear delineation has also been made between measures which the Compliance Committee can take directly and which measures it must recommend to the Council. </w:t>
                      </w:r>
                    </w:p>
                    <w:p w14:paraId="4F558529" w14:textId="77777777" w:rsidR="00397F97" w:rsidRPr="00397F97" w:rsidRDefault="00397F97" w:rsidP="00C6380A">
                      <w:pPr>
                        <w:pStyle w:val="ListParagraph"/>
                        <w:numPr>
                          <w:ilvl w:val="0"/>
                          <w:numId w:val="26"/>
                        </w:numPr>
                        <w:rPr>
                          <w:b/>
                          <w:bCs/>
                          <w:sz w:val="22"/>
                          <w:szCs w:val="22"/>
                        </w:rPr>
                      </w:pPr>
                      <w:r>
                        <w:rPr>
                          <w:sz w:val="22"/>
                          <w:szCs w:val="22"/>
                        </w:rPr>
                        <w:t xml:space="preserve">Paragraph 2 contains an amended list of measures. </w:t>
                      </w:r>
                    </w:p>
                    <w:p w14:paraId="20F58911" w14:textId="14C1429D" w:rsidR="00C6380A" w:rsidRPr="00C6380A" w:rsidRDefault="00397F97" w:rsidP="00C6380A">
                      <w:pPr>
                        <w:pStyle w:val="ListParagraph"/>
                        <w:numPr>
                          <w:ilvl w:val="0"/>
                          <w:numId w:val="26"/>
                        </w:numPr>
                        <w:rPr>
                          <w:b/>
                          <w:bCs/>
                          <w:sz w:val="22"/>
                          <w:szCs w:val="22"/>
                        </w:rPr>
                      </w:pPr>
                      <w:r>
                        <w:rPr>
                          <w:sz w:val="22"/>
                          <w:szCs w:val="22"/>
                        </w:rPr>
                        <w:t>Paragraph 3 contains a reference to emergency orders in brackets, as the organizers are of the understanding that – also with respect to DR 102 – the question whether the Compliance Committee can also recommend emergency orders requires further negotiations.</w:t>
                      </w:r>
                      <w:r w:rsidR="00C6380A">
                        <w:rPr>
                          <w:sz w:val="22"/>
                          <w:szCs w:val="22"/>
                        </w:rPr>
                        <w:t xml:space="preserve"> </w:t>
                      </w:r>
                    </w:p>
                    <w:p w14:paraId="06981E35" w14:textId="77777777" w:rsidR="00C6380A" w:rsidRPr="00C6380A" w:rsidRDefault="00C6380A" w:rsidP="00C6380A">
                      <w:pPr>
                        <w:pStyle w:val="ListParagraph"/>
                        <w:numPr>
                          <w:ilvl w:val="0"/>
                          <w:numId w:val="26"/>
                        </w:numPr>
                        <w:rPr>
                          <w:b/>
                          <w:bCs/>
                          <w:sz w:val="22"/>
                          <w:szCs w:val="22"/>
                        </w:rPr>
                      </w:pPr>
                      <w:r>
                        <w:rPr>
                          <w:sz w:val="22"/>
                          <w:szCs w:val="22"/>
                        </w:rPr>
                        <w:t xml:space="preserve">Paragraph 4 has been taken from another Regulation in the draft skeleton. Paragraph 4 builds on paragraphs 2 and 3. </w:t>
                      </w:r>
                    </w:p>
                    <w:p w14:paraId="14CB803E" w14:textId="77777777" w:rsidR="00C6380A" w:rsidRPr="00C6380A" w:rsidRDefault="00C6380A" w:rsidP="00C6380A">
                      <w:pPr>
                        <w:pStyle w:val="ListParagraph"/>
                        <w:numPr>
                          <w:ilvl w:val="0"/>
                          <w:numId w:val="26"/>
                        </w:numPr>
                        <w:rPr>
                          <w:b/>
                          <w:bCs/>
                          <w:sz w:val="22"/>
                          <w:szCs w:val="22"/>
                        </w:rPr>
                      </w:pPr>
                      <w:r>
                        <w:rPr>
                          <w:sz w:val="22"/>
                          <w:szCs w:val="22"/>
                        </w:rPr>
                        <w:t>Paragraph 5 has been included as the FOP considered at the second meeting that it would be desirable not to be too prescriptive with respect to such procedures in the Regulations, but leave this up for a Standard.</w:t>
                      </w:r>
                    </w:p>
                    <w:p w14:paraId="5E038BB6" w14:textId="77777777" w:rsidR="00C6380A" w:rsidRPr="00C6380A" w:rsidRDefault="00C6380A" w:rsidP="00C6380A">
                      <w:pPr>
                        <w:pStyle w:val="ListParagraph"/>
                        <w:numPr>
                          <w:ilvl w:val="0"/>
                          <w:numId w:val="26"/>
                        </w:numPr>
                        <w:rPr>
                          <w:b/>
                          <w:bCs/>
                          <w:sz w:val="22"/>
                          <w:szCs w:val="22"/>
                        </w:rPr>
                      </w:pPr>
                      <w:r>
                        <w:rPr>
                          <w:sz w:val="22"/>
                          <w:szCs w:val="22"/>
                        </w:rPr>
                        <w:t>Paragraph 6</w:t>
                      </w:r>
                      <w:r w:rsidRPr="00C6380A">
                        <w:rPr>
                          <w:sz w:val="22"/>
                          <w:szCs w:val="22"/>
                        </w:rPr>
                        <w:t xml:space="preserve"> </w:t>
                      </w:r>
                      <w:r>
                        <w:rPr>
                          <w:sz w:val="22"/>
                          <w:szCs w:val="22"/>
                        </w:rPr>
                        <w:t>has been taken from another Regulation and is now more correctly drafted.</w:t>
                      </w:r>
                    </w:p>
                    <w:p w14:paraId="4913A001" w14:textId="77777777" w:rsidR="00C6380A" w:rsidRPr="00C6380A" w:rsidRDefault="00C6380A" w:rsidP="00C6380A">
                      <w:pPr>
                        <w:pStyle w:val="ListParagraph"/>
                        <w:numPr>
                          <w:ilvl w:val="0"/>
                          <w:numId w:val="26"/>
                        </w:numPr>
                        <w:rPr>
                          <w:b/>
                          <w:bCs/>
                          <w:sz w:val="22"/>
                          <w:szCs w:val="22"/>
                          <w:lang w:val="fr-FR"/>
                        </w:rPr>
                      </w:pPr>
                      <w:proofErr w:type="spellStart"/>
                      <w:r w:rsidRPr="00C6380A">
                        <w:rPr>
                          <w:sz w:val="22"/>
                          <w:szCs w:val="22"/>
                          <w:lang w:val="fr-FR"/>
                        </w:rPr>
                        <w:t>Paragraph</w:t>
                      </w:r>
                      <w:proofErr w:type="spellEnd"/>
                      <w:r w:rsidRPr="00C6380A">
                        <w:rPr>
                          <w:sz w:val="22"/>
                          <w:szCs w:val="22"/>
                          <w:lang w:val="fr-FR"/>
                        </w:rPr>
                        <w:t xml:space="preserve"> 7 </w:t>
                      </w:r>
                      <w:proofErr w:type="spellStart"/>
                      <w:r w:rsidRPr="00C6380A">
                        <w:rPr>
                          <w:sz w:val="22"/>
                          <w:szCs w:val="22"/>
                          <w:lang w:val="fr-FR"/>
                        </w:rPr>
                        <w:t>contains</w:t>
                      </w:r>
                      <w:proofErr w:type="spellEnd"/>
                      <w:r w:rsidRPr="00C6380A">
                        <w:rPr>
                          <w:sz w:val="22"/>
                          <w:szCs w:val="22"/>
                          <w:lang w:val="fr-FR"/>
                        </w:rPr>
                        <w:t xml:space="preserve"> certain </w:t>
                      </w:r>
                      <w:proofErr w:type="spellStart"/>
                      <w:r w:rsidRPr="00C6380A">
                        <w:rPr>
                          <w:sz w:val="22"/>
                          <w:szCs w:val="22"/>
                          <w:lang w:val="fr-FR"/>
                        </w:rPr>
                        <w:t>due</w:t>
                      </w:r>
                      <w:proofErr w:type="spellEnd"/>
                      <w:r w:rsidRPr="00C6380A">
                        <w:rPr>
                          <w:sz w:val="22"/>
                          <w:szCs w:val="22"/>
                          <w:lang w:val="fr-FR"/>
                        </w:rPr>
                        <w:t xml:space="preserve"> pr</w:t>
                      </w:r>
                      <w:r>
                        <w:rPr>
                          <w:sz w:val="22"/>
                          <w:szCs w:val="22"/>
                          <w:lang w:val="fr-FR"/>
                        </w:rPr>
                        <w:t xml:space="preserve">ocess </w:t>
                      </w:r>
                      <w:proofErr w:type="spellStart"/>
                      <w:r>
                        <w:rPr>
                          <w:sz w:val="22"/>
                          <w:szCs w:val="22"/>
                          <w:lang w:val="fr-FR"/>
                        </w:rPr>
                        <w:t>requirements</w:t>
                      </w:r>
                      <w:proofErr w:type="spellEnd"/>
                      <w:r>
                        <w:rPr>
                          <w:sz w:val="22"/>
                          <w:szCs w:val="22"/>
                          <w:lang w:val="fr-FR"/>
                        </w:rPr>
                        <w:t xml:space="preserve">. </w:t>
                      </w:r>
                    </w:p>
                    <w:p w14:paraId="10EE2CDE" w14:textId="77777777" w:rsidR="00C6380A" w:rsidRPr="00C6380A" w:rsidRDefault="00C6380A" w:rsidP="00C6380A">
                      <w:pPr>
                        <w:pStyle w:val="ListParagraph"/>
                        <w:numPr>
                          <w:ilvl w:val="0"/>
                          <w:numId w:val="26"/>
                        </w:numPr>
                        <w:rPr>
                          <w:b/>
                          <w:bCs/>
                          <w:sz w:val="22"/>
                          <w:szCs w:val="22"/>
                          <w:lang w:val="en-US"/>
                        </w:rPr>
                      </w:pPr>
                      <w:r w:rsidRPr="00C6380A">
                        <w:rPr>
                          <w:sz w:val="22"/>
                          <w:szCs w:val="22"/>
                          <w:lang w:val="en-US"/>
                        </w:rPr>
                        <w:t>Paragraph 8 introduces the notion o</w:t>
                      </w:r>
                      <w:r>
                        <w:rPr>
                          <w:sz w:val="22"/>
                          <w:szCs w:val="22"/>
                          <w:lang w:val="en-US"/>
                        </w:rPr>
                        <w:t>f Non-Compliance Notices.</w:t>
                      </w:r>
                    </w:p>
                  </w:txbxContent>
                </v:textbox>
                <w10:anchorlock/>
              </v:shape>
            </w:pict>
          </mc:Fallback>
        </mc:AlternateContent>
      </w:r>
    </w:p>
    <w:p w14:paraId="662C6DC9" w14:textId="77777777" w:rsidR="00C6380A" w:rsidRDefault="00C6380A" w:rsidP="00866495">
      <w:pPr>
        <w:pStyle w:val="NoSpacing"/>
        <w:spacing w:line="276" w:lineRule="auto"/>
        <w:rPr>
          <w:rFonts w:ascii="Times New Roman" w:hAnsi="Times New Roman" w:cs="Times New Roman"/>
          <w:b/>
          <w:bCs/>
          <w:sz w:val="24"/>
          <w:szCs w:val="24"/>
          <w:lang w:val="en-US"/>
        </w:rPr>
      </w:pPr>
    </w:p>
    <w:p w14:paraId="43092685" w14:textId="459BA514" w:rsidR="004C6619" w:rsidRDefault="004C6619" w:rsidP="004C6619">
      <w:pPr>
        <w:pStyle w:val="NoSpacing"/>
        <w:spacing w:line="276" w:lineRule="auto"/>
        <w:jc w:val="both"/>
        <w:rPr>
          <w:rFonts w:ascii="Times New Roman" w:hAnsi="Times New Roman" w:cs="Times New Roman"/>
          <w:lang w:val="en-TT"/>
        </w:rPr>
      </w:pPr>
      <w:r w:rsidRPr="00C151E9">
        <w:rPr>
          <w:rFonts w:ascii="Times New Roman" w:hAnsi="Times New Roman" w:cs="Times New Roman"/>
          <w:lang w:val="en-US"/>
        </w:rPr>
        <w:t xml:space="preserve">1. </w:t>
      </w:r>
      <w:r>
        <w:rPr>
          <w:rFonts w:ascii="Times New Roman" w:hAnsi="Times New Roman" w:cs="Times New Roman"/>
          <w:lang w:val="en-US"/>
        </w:rPr>
        <w:t>If the Compliance Committee holds</w:t>
      </w:r>
      <w:r w:rsidR="00FE0F13">
        <w:rPr>
          <w:rFonts w:ascii="Times New Roman" w:hAnsi="Times New Roman" w:cs="Times New Roman"/>
          <w:lang w:val="en-US"/>
        </w:rPr>
        <w:t>, based on evidence,</w:t>
      </w:r>
      <w:r>
        <w:rPr>
          <w:rFonts w:ascii="Times New Roman" w:hAnsi="Times New Roman" w:cs="Times New Roman"/>
          <w:lang w:val="en-US"/>
        </w:rPr>
        <w:t xml:space="preserve"> that a Contractor has breached </w:t>
      </w:r>
      <w:r w:rsidR="00FE0F13">
        <w:rPr>
          <w:rFonts w:ascii="Times New Roman" w:hAnsi="Times New Roman" w:cs="Times New Roman"/>
          <w:lang w:val="en-US"/>
        </w:rPr>
        <w:t>or is at risk of breaching its</w:t>
      </w:r>
      <w:r>
        <w:rPr>
          <w:rFonts w:ascii="Times New Roman" w:hAnsi="Times New Roman" w:cs="Times New Roman"/>
          <w:lang w:val="en-US"/>
        </w:rPr>
        <w:t xml:space="preserve"> Exploitation Contract, it may </w:t>
      </w:r>
      <w:r w:rsidR="00B31CFA">
        <w:rPr>
          <w:rFonts w:ascii="Times New Roman" w:hAnsi="Times New Roman" w:cs="Times New Roman"/>
          <w:lang w:val="en-US"/>
        </w:rPr>
        <w:t xml:space="preserve">(i) </w:t>
      </w:r>
      <w:r>
        <w:rPr>
          <w:rFonts w:ascii="Times New Roman" w:hAnsi="Times New Roman" w:cs="Times New Roman"/>
          <w:lang w:val="en-US"/>
        </w:rPr>
        <w:t>take</w:t>
      </w:r>
      <w:r w:rsidR="00B31CFA">
        <w:rPr>
          <w:rFonts w:ascii="Times New Roman" w:hAnsi="Times New Roman" w:cs="Times New Roman"/>
          <w:lang w:val="en-US"/>
        </w:rPr>
        <w:t xml:space="preserve"> </w:t>
      </w:r>
      <w:r>
        <w:rPr>
          <w:rFonts w:ascii="Times New Roman" w:hAnsi="Times New Roman" w:cs="Times New Roman"/>
          <w:lang w:val="en-US"/>
        </w:rPr>
        <w:t xml:space="preserve">measures </w:t>
      </w:r>
      <w:r w:rsidR="00FE0F13">
        <w:rPr>
          <w:rFonts w:ascii="Times New Roman" w:hAnsi="Times New Roman" w:cs="Times New Roman"/>
          <w:lang w:val="en-US"/>
        </w:rPr>
        <w:t>directly and</w:t>
      </w:r>
      <w:r w:rsidR="00B31CFA">
        <w:rPr>
          <w:rFonts w:ascii="Times New Roman" w:hAnsi="Times New Roman" w:cs="Times New Roman"/>
          <w:lang w:val="en-US"/>
        </w:rPr>
        <w:t xml:space="preserve"> (ii) </w:t>
      </w:r>
      <w:r w:rsidR="00FE0F13">
        <w:rPr>
          <w:rFonts w:ascii="Times New Roman" w:hAnsi="Times New Roman" w:cs="Times New Roman"/>
          <w:lang w:val="en-US"/>
        </w:rPr>
        <w:t xml:space="preserve">make </w:t>
      </w:r>
      <w:r w:rsidR="00B31CFA">
        <w:rPr>
          <w:rFonts w:ascii="Times New Roman" w:hAnsi="Times New Roman" w:cs="Times New Roman"/>
          <w:lang w:val="en-US"/>
        </w:rPr>
        <w:t>recommend</w:t>
      </w:r>
      <w:r w:rsidR="00FE0F13">
        <w:rPr>
          <w:rFonts w:ascii="Times New Roman" w:hAnsi="Times New Roman" w:cs="Times New Roman"/>
          <w:lang w:val="en-US"/>
        </w:rPr>
        <w:t xml:space="preserve">ations </w:t>
      </w:r>
      <w:r w:rsidR="00FE0F13">
        <w:rPr>
          <w:rFonts w:ascii="Times New Roman" w:hAnsi="Times New Roman" w:cs="Times New Roman"/>
          <w:lang w:val="en-US"/>
        </w:rPr>
        <w:lastRenderedPageBreak/>
        <w:t xml:space="preserve">to the </w:t>
      </w:r>
      <w:r w:rsidR="00B31CFA">
        <w:rPr>
          <w:rFonts w:ascii="Times New Roman" w:hAnsi="Times New Roman" w:cs="Times New Roman"/>
          <w:lang w:val="en-US"/>
        </w:rPr>
        <w:t>Council</w:t>
      </w:r>
      <w:r w:rsidR="00FE0F13">
        <w:rPr>
          <w:rFonts w:ascii="Times New Roman" w:hAnsi="Times New Roman" w:cs="Times New Roman"/>
          <w:lang w:val="en-US"/>
        </w:rPr>
        <w:t xml:space="preserve"> to take measures</w:t>
      </w:r>
      <w:r w:rsidR="00B31CFA">
        <w:rPr>
          <w:rFonts w:ascii="Times New Roman" w:hAnsi="Times New Roman" w:cs="Times New Roman"/>
          <w:lang w:val="en-US"/>
        </w:rPr>
        <w:t xml:space="preserve">, </w:t>
      </w:r>
      <w:r w:rsidR="00FE0F13">
        <w:rPr>
          <w:rFonts w:ascii="Times New Roman" w:hAnsi="Times New Roman" w:cs="Times New Roman"/>
          <w:lang w:val="en-US"/>
        </w:rPr>
        <w:t xml:space="preserve">in order </w:t>
      </w:r>
      <w:r>
        <w:rPr>
          <w:rFonts w:ascii="Times New Roman" w:hAnsi="Times New Roman" w:cs="Times New Roman"/>
          <w:lang w:val="en-TT"/>
        </w:rPr>
        <w:t>to</w:t>
      </w:r>
      <w:r w:rsidRPr="004C6619">
        <w:rPr>
          <w:rFonts w:ascii="Times New Roman" w:hAnsi="Times New Roman" w:cs="Times New Roman"/>
          <w:lang w:val="en-TT"/>
        </w:rPr>
        <w:t xml:space="preserve"> secur</w:t>
      </w:r>
      <w:r>
        <w:rPr>
          <w:rFonts w:ascii="Times New Roman" w:hAnsi="Times New Roman" w:cs="Times New Roman"/>
          <w:lang w:val="en-TT"/>
        </w:rPr>
        <w:t>e</w:t>
      </w:r>
      <w:r w:rsidRPr="004C6619">
        <w:rPr>
          <w:rFonts w:ascii="Times New Roman" w:hAnsi="Times New Roman" w:cs="Times New Roman"/>
          <w:lang w:val="en-TT"/>
        </w:rPr>
        <w:t xml:space="preserve"> compliance with the </w:t>
      </w:r>
      <w:r>
        <w:rPr>
          <w:rFonts w:ascii="Times New Roman" w:hAnsi="Times New Roman" w:cs="Times New Roman"/>
          <w:lang w:val="en-TT"/>
        </w:rPr>
        <w:t>Exploitation Contract</w:t>
      </w:r>
      <w:r w:rsidR="00FE0F13">
        <w:rPr>
          <w:rFonts w:ascii="Times New Roman" w:hAnsi="Times New Roman" w:cs="Times New Roman"/>
          <w:lang w:val="en-TT"/>
        </w:rPr>
        <w:t xml:space="preserve"> by the Contractor</w:t>
      </w:r>
      <w:r w:rsidR="009670CF">
        <w:rPr>
          <w:rFonts w:ascii="Times New Roman" w:hAnsi="Times New Roman" w:cs="Times New Roman"/>
          <w:lang w:val="en-TT"/>
        </w:rPr>
        <w:t>,</w:t>
      </w:r>
      <w:r w:rsidR="002107DF">
        <w:rPr>
          <w:rFonts w:ascii="Times New Roman" w:hAnsi="Times New Roman" w:cs="Times New Roman"/>
          <w:lang w:val="en-TT"/>
        </w:rPr>
        <w:t xml:space="preserve"> in accordance with </w:t>
      </w:r>
      <w:r w:rsidR="002107DF" w:rsidRPr="0086571C">
        <w:rPr>
          <w:rFonts w:ascii="Times New Roman" w:hAnsi="Times New Roman" w:cs="Times New Roman"/>
          <w:lang w:val="en-TT"/>
        </w:rPr>
        <w:t>Regulatio</w:t>
      </w:r>
      <w:r w:rsidR="002107DF" w:rsidRPr="009670CF">
        <w:rPr>
          <w:rFonts w:ascii="Times New Roman" w:hAnsi="Times New Roman" w:cs="Times New Roman"/>
          <w:lang w:val="en-TT"/>
        </w:rPr>
        <w:t>ns</w:t>
      </w:r>
      <w:r w:rsidR="009670CF">
        <w:rPr>
          <w:rFonts w:ascii="Times New Roman" w:hAnsi="Times New Roman" w:cs="Times New Roman"/>
          <w:lang w:val="en-TT"/>
        </w:rPr>
        <w:t xml:space="preserve"> [103] through </w:t>
      </w:r>
      <w:r w:rsidR="002A6813">
        <w:rPr>
          <w:rFonts w:ascii="Times New Roman" w:hAnsi="Times New Roman" w:cs="Times New Roman"/>
          <w:lang w:val="en-TT"/>
        </w:rPr>
        <w:t>[104]</w:t>
      </w:r>
      <w:r w:rsidR="00B31CFA" w:rsidRPr="009670CF">
        <w:rPr>
          <w:rFonts w:ascii="Times New Roman" w:hAnsi="Times New Roman" w:cs="Times New Roman"/>
          <w:lang w:val="en-TT"/>
        </w:rPr>
        <w:t>.</w:t>
      </w:r>
      <w:r>
        <w:rPr>
          <w:rFonts w:ascii="Times New Roman" w:hAnsi="Times New Roman" w:cs="Times New Roman"/>
          <w:lang w:val="en-TT"/>
        </w:rPr>
        <w:t xml:space="preserve"> </w:t>
      </w:r>
    </w:p>
    <w:p w14:paraId="6D305106" w14:textId="77777777" w:rsidR="008D6789" w:rsidRDefault="008D6789" w:rsidP="004C6619">
      <w:pPr>
        <w:pStyle w:val="NoSpacing"/>
        <w:spacing w:line="276" w:lineRule="auto"/>
        <w:jc w:val="both"/>
        <w:rPr>
          <w:rFonts w:ascii="Times New Roman" w:hAnsi="Times New Roman" w:cs="Times New Roman"/>
          <w:lang w:val="en-TT"/>
        </w:rPr>
      </w:pPr>
    </w:p>
    <w:p w14:paraId="51058D0B" w14:textId="6C1B5F64" w:rsidR="008D6789" w:rsidRDefault="002A6813" w:rsidP="008D6789">
      <w:pPr>
        <w:pStyle w:val="NoSpacing"/>
        <w:spacing w:line="276" w:lineRule="auto"/>
        <w:jc w:val="both"/>
        <w:rPr>
          <w:rFonts w:ascii="Times New Roman" w:hAnsi="Times New Roman" w:cs="Times New Roman"/>
          <w:lang w:val="en-US"/>
        </w:rPr>
      </w:pPr>
      <w:r>
        <w:rPr>
          <w:rFonts w:ascii="Times New Roman" w:hAnsi="Times New Roman" w:cs="Times New Roman"/>
          <w:lang w:val="en-US"/>
        </w:rPr>
        <w:t>2</w:t>
      </w:r>
      <w:r w:rsidR="008D6789" w:rsidRPr="00C151E9">
        <w:rPr>
          <w:rFonts w:ascii="Times New Roman" w:hAnsi="Times New Roman" w:cs="Times New Roman"/>
          <w:lang w:val="en-US"/>
        </w:rPr>
        <w:t xml:space="preserve">. </w:t>
      </w:r>
      <w:r w:rsidR="008D6789">
        <w:rPr>
          <w:rFonts w:ascii="Times New Roman" w:hAnsi="Times New Roman" w:cs="Times New Roman"/>
          <w:lang w:val="en-US"/>
        </w:rPr>
        <w:t>The Compliance Committee may</w:t>
      </w:r>
      <w:r>
        <w:rPr>
          <w:rFonts w:ascii="Times New Roman" w:hAnsi="Times New Roman" w:cs="Times New Roman"/>
          <w:lang w:val="en-US"/>
        </w:rPr>
        <w:t xml:space="preserve">, </w:t>
      </w:r>
      <w:r w:rsidR="00C16A8A">
        <w:rPr>
          <w:rFonts w:ascii="Times New Roman" w:hAnsi="Times New Roman" w:cs="Times New Roman"/>
          <w:i/>
          <w:iCs/>
          <w:lang w:val="en-US"/>
        </w:rPr>
        <w:t>inter alia</w:t>
      </w:r>
      <w:r w:rsidR="008D6789">
        <w:rPr>
          <w:rFonts w:ascii="Times New Roman" w:hAnsi="Times New Roman" w:cs="Times New Roman"/>
          <w:lang w:val="en-US"/>
        </w:rPr>
        <w:t xml:space="preserve">: </w:t>
      </w:r>
    </w:p>
    <w:p w14:paraId="5D00C1E6" w14:textId="77777777" w:rsidR="008D6789" w:rsidRDefault="008D6789" w:rsidP="008D6789">
      <w:pPr>
        <w:pStyle w:val="NoSpacing"/>
        <w:spacing w:line="276" w:lineRule="auto"/>
        <w:jc w:val="both"/>
        <w:rPr>
          <w:rFonts w:ascii="Times New Roman" w:hAnsi="Times New Roman" w:cs="Times New Roman"/>
          <w:lang w:val="en-US"/>
        </w:rPr>
      </w:pPr>
    </w:p>
    <w:p w14:paraId="0CED3A2B" w14:textId="77777777" w:rsidR="0054408A" w:rsidRPr="00A45607" w:rsidRDefault="0054408A" w:rsidP="0054408A">
      <w:pPr>
        <w:pStyle w:val="NoSpacing"/>
        <w:numPr>
          <w:ilvl w:val="0"/>
          <w:numId w:val="8"/>
        </w:numPr>
        <w:spacing w:line="276" w:lineRule="auto"/>
        <w:jc w:val="both"/>
        <w:rPr>
          <w:rFonts w:ascii="Times New Roman" w:hAnsi="Times New Roman" w:cs="Times New Roman"/>
          <w:lang w:val="en-US"/>
        </w:rPr>
      </w:pPr>
      <w:r>
        <w:rPr>
          <w:rFonts w:ascii="Times New Roman" w:hAnsi="Times New Roman" w:cs="Times New Roman"/>
          <w:lang w:val="en-US"/>
        </w:rPr>
        <w:t xml:space="preserve">inform a Contractor what action is needed to become or remain compliant with its Exploitation Contract; </w:t>
      </w:r>
      <w:r w:rsidRPr="009A3D71">
        <w:rPr>
          <w:rFonts w:ascii="Times New Roman" w:hAnsi="Times New Roman" w:cs="Times New Roman"/>
          <w:lang w:val="en-US"/>
        </w:rPr>
        <w:t xml:space="preserve"> </w:t>
      </w:r>
    </w:p>
    <w:p w14:paraId="011B8BC5" w14:textId="023B1D6C" w:rsidR="008D6789" w:rsidRDefault="008D6789" w:rsidP="008D6789">
      <w:pPr>
        <w:pStyle w:val="NoSpacing"/>
        <w:numPr>
          <w:ilvl w:val="0"/>
          <w:numId w:val="8"/>
        </w:numPr>
        <w:spacing w:line="276" w:lineRule="auto"/>
        <w:jc w:val="both"/>
        <w:rPr>
          <w:rFonts w:ascii="Times New Roman" w:hAnsi="Times New Roman" w:cs="Times New Roman"/>
          <w:lang w:val="en-US"/>
        </w:rPr>
      </w:pPr>
      <w:r>
        <w:rPr>
          <w:rFonts w:ascii="Times New Roman" w:hAnsi="Times New Roman" w:cs="Times New Roman"/>
          <w:lang w:val="en-US"/>
        </w:rPr>
        <w:t xml:space="preserve">warn </w:t>
      </w:r>
      <w:r w:rsidR="002A6813">
        <w:rPr>
          <w:rFonts w:ascii="Times New Roman" w:hAnsi="Times New Roman" w:cs="Times New Roman"/>
          <w:lang w:val="en-US"/>
        </w:rPr>
        <w:t>a</w:t>
      </w:r>
      <w:r>
        <w:rPr>
          <w:rFonts w:ascii="Times New Roman" w:hAnsi="Times New Roman" w:cs="Times New Roman"/>
          <w:lang w:val="en-US"/>
        </w:rPr>
        <w:t xml:space="preserve"> Contractor that it is not compliant or at risk of being </w:t>
      </w:r>
      <w:r w:rsidR="002A6813">
        <w:rPr>
          <w:rFonts w:ascii="Times New Roman" w:hAnsi="Times New Roman" w:cs="Times New Roman"/>
          <w:lang w:val="en-US"/>
        </w:rPr>
        <w:t>non-compliant</w:t>
      </w:r>
      <w:r>
        <w:rPr>
          <w:rFonts w:ascii="Times New Roman" w:hAnsi="Times New Roman" w:cs="Times New Roman"/>
          <w:lang w:val="en-US"/>
        </w:rPr>
        <w:t xml:space="preserve"> with its Exploitation Contract;</w:t>
      </w:r>
    </w:p>
    <w:p w14:paraId="100F2690" w14:textId="298E932D" w:rsidR="008D6789" w:rsidRDefault="008D6789" w:rsidP="008D6789">
      <w:pPr>
        <w:pStyle w:val="NoSpacing"/>
        <w:numPr>
          <w:ilvl w:val="0"/>
          <w:numId w:val="8"/>
        </w:numPr>
        <w:spacing w:line="276" w:lineRule="auto"/>
        <w:jc w:val="both"/>
        <w:rPr>
          <w:rFonts w:ascii="Times New Roman" w:hAnsi="Times New Roman" w:cs="Times New Roman"/>
          <w:lang w:val="en-US"/>
        </w:rPr>
      </w:pPr>
      <w:r>
        <w:rPr>
          <w:rFonts w:ascii="Times New Roman" w:hAnsi="Times New Roman" w:cs="Times New Roman"/>
          <w:lang w:val="en-US"/>
        </w:rPr>
        <w:t xml:space="preserve">order </w:t>
      </w:r>
      <w:r w:rsidR="002A6813">
        <w:rPr>
          <w:rFonts w:ascii="Times New Roman" w:hAnsi="Times New Roman" w:cs="Times New Roman"/>
          <w:lang w:val="en-US"/>
        </w:rPr>
        <w:t>a</w:t>
      </w:r>
      <w:r>
        <w:rPr>
          <w:rFonts w:ascii="Times New Roman" w:hAnsi="Times New Roman" w:cs="Times New Roman"/>
          <w:lang w:val="en-US"/>
        </w:rPr>
        <w:t xml:space="preserve"> Contractor to </w:t>
      </w:r>
      <w:r w:rsidR="0054408A">
        <w:rPr>
          <w:rFonts w:ascii="Times New Roman" w:hAnsi="Times New Roman" w:cs="Times New Roman"/>
          <w:lang w:val="en-US"/>
        </w:rPr>
        <w:t>attend</w:t>
      </w:r>
      <w:r>
        <w:rPr>
          <w:rFonts w:ascii="Times New Roman" w:hAnsi="Times New Roman" w:cs="Times New Roman"/>
          <w:lang w:val="en-US"/>
        </w:rPr>
        <w:t xml:space="preserve"> a meeting with the Compliance Committee; </w:t>
      </w:r>
    </w:p>
    <w:p w14:paraId="304716F3" w14:textId="478367C8" w:rsidR="008D6789" w:rsidRDefault="0054408A" w:rsidP="008D6789">
      <w:pPr>
        <w:pStyle w:val="NoSpacing"/>
        <w:numPr>
          <w:ilvl w:val="0"/>
          <w:numId w:val="8"/>
        </w:numPr>
        <w:spacing w:line="276" w:lineRule="auto"/>
        <w:jc w:val="both"/>
        <w:rPr>
          <w:rFonts w:ascii="Times New Roman" w:hAnsi="Times New Roman" w:cs="Times New Roman"/>
          <w:lang w:val="en-US"/>
        </w:rPr>
      </w:pPr>
      <w:r>
        <w:rPr>
          <w:rFonts w:ascii="Times New Roman" w:hAnsi="Times New Roman" w:cs="Times New Roman"/>
          <w:lang w:val="en-US"/>
        </w:rPr>
        <w:t>instruct</w:t>
      </w:r>
      <w:r w:rsidR="008D6789">
        <w:rPr>
          <w:rFonts w:ascii="Times New Roman" w:hAnsi="Times New Roman" w:cs="Times New Roman"/>
          <w:lang w:val="en-US"/>
        </w:rPr>
        <w:t xml:space="preserve"> the Contractor to compile and implement</w:t>
      </w:r>
      <w:r w:rsidR="008D6789" w:rsidRPr="00811A7D">
        <w:rPr>
          <w:rFonts w:ascii="Times New Roman" w:hAnsi="Times New Roman" w:cs="Times New Roman"/>
          <w:lang w:val="en-US"/>
        </w:rPr>
        <w:t xml:space="preserve"> an improvement plan setting out</w:t>
      </w:r>
      <w:r w:rsidR="008D6789">
        <w:rPr>
          <w:rFonts w:ascii="Times New Roman" w:hAnsi="Times New Roman" w:cs="Times New Roman"/>
          <w:lang w:val="en-US"/>
        </w:rPr>
        <w:t xml:space="preserve">: </w:t>
      </w:r>
    </w:p>
    <w:p w14:paraId="3248460D" w14:textId="5A16DEF3" w:rsidR="008D6789" w:rsidRDefault="008D6789" w:rsidP="008D6789">
      <w:pPr>
        <w:pStyle w:val="NoSpacing"/>
        <w:numPr>
          <w:ilvl w:val="0"/>
          <w:numId w:val="11"/>
        </w:numPr>
        <w:spacing w:line="276" w:lineRule="auto"/>
        <w:jc w:val="both"/>
        <w:rPr>
          <w:rFonts w:ascii="Times New Roman" w:hAnsi="Times New Roman" w:cs="Times New Roman"/>
          <w:lang w:val="en-US"/>
        </w:rPr>
      </w:pPr>
      <w:r w:rsidRPr="00811A7D">
        <w:rPr>
          <w:rFonts w:ascii="Times New Roman" w:hAnsi="Times New Roman" w:cs="Times New Roman"/>
          <w:lang w:val="en-US"/>
        </w:rPr>
        <w:t>actions to be taken to return to compliance</w:t>
      </w:r>
      <w:r w:rsidR="00C16A8A">
        <w:rPr>
          <w:rFonts w:ascii="Times New Roman" w:hAnsi="Times New Roman" w:cs="Times New Roman"/>
          <w:lang w:val="en-US"/>
        </w:rPr>
        <w:t xml:space="preserve"> with its Exploitation Contract</w:t>
      </w:r>
      <w:r>
        <w:rPr>
          <w:rFonts w:ascii="Times New Roman" w:hAnsi="Times New Roman" w:cs="Times New Roman"/>
          <w:lang w:val="en-US"/>
        </w:rPr>
        <w:t xml:space="preserve">; </w:t>
      </w:r>
    </w:p>
    <w:p w14:paraId="19B433C9" w14:textId="77777777" w:rsidR="008D6789" w:rsidRDefault="008D6789" w:rsidP="008D6789">
      <w:pPr>
        <w:pStyle w:val="NoSpacing"/>
        <w:numPr>
          <w:ilvl w:val="0"/>
          <w:numId w:val="11"/>
        </w:numPr>
        <w:spacing w:line="276" w:lineRule="auto"/>
        <w:jc w:val="both"/>
        <w:rPr>
          <w:rFonts w:ascii="Times New Roman" w:hAnsi="Times New Roman" w:cs="Times New Roman"/>
          <w:lang w:val="en-US"/>
        </w:rPr>
      </w:pPr>
      <w:r w:rsidRPr="00811A7D">
        <w:rPr>
          <w:rFonts w:ascii="Times New Roman" w:hAnsi="Times New Roman" w:cs="Times New Roman"/>
          <w:lang w:val="en-US"/>
        </w:rPr>
        <w:t>how the actions’ effectiveness will be monitored and reported</w:t>
      </w:r>
      <w:r>
        <w:rPr>
          <w:rFonts w:ascii="Times New Roman" w:hAnsi="Times New Roman" w:cs="Times New Roman"/>
          <w:lang w:val="en-US"/>
        </w:rPr>
        <w:t xml:space="preserve">; </w:t>
      </w:r>
    </w:p>
    <w:p w14:paraId="313353B1" w14:textId="1266E0F5" w:rsidR="008D6789" w:rsidRDefault="008D6789" w:rsidP="008D6789">
      <w:pPr>
        <w:pStyle w:val="NoSpacing"/>
        <w:numPr>
          <w:ilvl w:val="0"/>
          <w:numId w:val="11"/>
        </w:numPr>
        <w:spacing w:line="276" w:lineRule="auto"/>
        <w:jc w:val="both"/>
        <w:rPr>
          <w:rFonts w:ascii="Times New Roman" w:hAnsi="Times New Roman" w:cs="Times New Roman"/>
          <w:lang w:val="en-US"/>
        </w:rPr>
      </w:pPr>
      <w:r>
        <w:rPr>
          <w:rFonts w:ascii="Times New Roman" w:hAnsi="Times New Roman" w:cs="Times New Roman"/>
          <w:lang w:val="en-US"/>
        </w:rPr>
        <w:t>t</w:t>
      </w:r>
      <w:r w:rsidRPr="00811A7D">
        <w:rPr>
          <w:rFonts w:ascii="Times New Roman" w:hAnsi="Times New Roman" w:cs="Times New Roman"/>
          <w:lang w:val="en-US"/>
        </w:rPr>
        <w:t>he time permitted for action</w:t>
      </w:r>
      <w:r w:rsidR="00D57F18">
        <w:rPr>
          <w:rFonts w:ascii="Times New Roman" w:hAnsi="Times New Roman" w:cs="Times New Roman"/>
          <w:lang w:val="en-US"/>
        </w:rPr>
        <w:t>;</w:t>
      </w:r>
      <w:r w:rsidRPr="00811A7D">
        <w:rPr>
          <w:rFonts w:ascii="Times New Roman" w:hAnsi="Times New Roman" w:cs="Times New Roman"/>
          <w:lang w:val="en-US"/>
        </w:rPr>
        <w:t xml:space="preserve"> and </w:t>
      </w:r>
    </w:p>
    <w:p w14:paraId="191E68D6" w14:textId="3A740458" w:rsidR="008D6789" w:rsidRDefault="008D6789" w:rsidP="008D6789">
      <w:pPr>
        <w:pStyle w:val="NoSpacing"/>
        <w:numPr>
          <w:ilvl w:val="0"/>
          <w:numId w:val="11"/>
        </w:numPr>
        <w:spacing w:line="276" w:lineRule="auto"/>
        <w:jc w:val="both"/>
        <w:rPr>
          <w:rFonts w:ascii="Times New Roman" w:hAnsi="Times New Roman" w:cs="Times New Roman"/>
          <w:lang w:val="en-US"/>
        </w:rPr>
      </w:pPr>
      <w:r w:rsidRPr="00811A7D">
        <w:rPr>
          <w:rFonts w:ascii="Times New Roman" w:hAnsi="Times New Roman" w:cs="Times New Roman"/>
          <w:lang w:val="en-US"/>
        </w:rPr>
        <w:t>subsequent steps</w:t>
      </w:r>
      <w:r w:rsidR="00D57F18">
        <w:rPr>
          <w:rFonts w:ascii="Times New Roman" w:hAnsi="Times New Roman" w:cs="Times New Roman"/>
          <w:lang w:val="en-US"/>
        </w:rPr>
        <w:t>,</w:t>
      </w:r>
      <w:r w:rsidRPr="00811A7D">
        <w:rPr>
          <w:rFonts w:ascii="Times New Roman" w:hAnsi="Times New Roman" w:cs="Times New Roman"/>
          <w:lang w:val="en-US"/>
        </w:rPr>
        <w:t xml:space="preserve"> should the actions </w:t>
      </w:r>
      <w:r w:rsidR="00D57F18">
        <w:rPr>
          <w:rFonts w:ascii="Times New Roman" w:hAnsi="Times New Roman" w:cs="Times New Roman"/>
          <w:lang w:val="en-US"/>
        </w:rPr>
        <w:t xml:space="preserve">under (i) </w:t>
      </w:r>
      <w:r w:rsidRPr="00811A7D">
        <w:rPr>
          <w:rFonts w:ascii="Times New Roman" w:hAnsi="Times New Roman" w:cs="Times New Roman"/>
          <w:lang w:val="en-US"/>
        </w:rPr>
        <w:t>be unsuccessful, or should non-compliance continue</w:t>
      </w:r>
      <w:r w:rsidR="00C16A8A">
        <w:rPr>
          <w:rFonts w:ascii="Times New Roman" w:hAnsi="Times New Roman" w:cs="Times New Roman"/>
          <w:lang w:val="en-US"/>
        </w:rPr>
        <w:t>;</w:t>
      </w:r>
    </w:p>
    <w:p w14:paraId="667E99C3" w14:textId="77777777" w:rsidR="002A6813" w:rsidRDefault="002A6813" w:rsidP="002A6813">
      <w:pPr>
        <w:pStyle w:val="NoSpacing"/>
        <w:numPr>
          <w:ilvl w:val="0"/>
          <w:numId w:val="8"/>
        </w:numPr>
        <w:spacing w:line="276" w:lineRule="auto"/>
        <w:jc w:val="both"/>
        <w:rPr>
          <w:rFonts w:ascii="Times New Roman" w:hAnsi="Times New Roman" w:cs="Times New Roman"/>
          <w:lang w:val="en-US"/>
        </w:rPr>
      </w:pPr>
      <w:r>
        <w:rPr>
          <w:rFonts w:ascii="Times New Roman" w:hAnsi="Times New Roman" w:cs="Times New Roman"/>
          <w:lang w:val="en-US"/>
        </w:rPr>
        <w:t xml:space="preserve">issue written instructions to the Contractor; </w:t>
      </w:r>
    </w:p>
    <w:p w14:paraId="3EA88610" w14:textId="0C8EA79B" w:rsidR="008D6789" w:rsidRDefault="008D6789" w:rsidP="008D6789">
      <w:pPr>
        <w:pStyle w:val="NoSpacing"/>
        <w:numPr>
          <w:ilvl w:val="0"/>
          <w:numId w:val="8"/>
        </w:numPr>
        <w:spacing w:line="276" w:lineRule="auto"/>
        <w:jc w:val="both"/>
        <w:rPr>
          <w:rFonts w:ascii="Times New Roman" w:hAnsi="Times New Roman" w:cs="Times New Roman"/>
          <w:lang w:val="en-US"/>
        </w:rPr>
      </w:pPr>
      <w:r>
        <w:rPr>
          <w:rFonts w:ascii="Times New Roman" w:hAnsi="Times New Roman" w:cs="Times New Roman"/>
          <w:lang w:val="en-US"/>
        </w:rPr>
        <w:t>instruct the [Roster of Inspectors/Chief Inspector] to conduct more frequent inspections of the activities in the Area carried out by the Contractor;</w:t>
      </w:r>
      <w:r w:rsidR="002A6813">
        <w:rPr>
          <w:rFonts w:ascii="Times New Roman" w:hAnsi="Times New Roman" w:cs="Times New Roman"/>
          <w:lang w:val="en-US"/>
        </w:rPr>
        <w:t xml:space="preserve"> or</w:t>
      </w:r>
    </w:p>
    <w:p w14:paraId="59E3FE9F" w14:textId="2ECEF657" w:rsidR="008D6789" w:rsidRDefault="008D6789" w:rsidP="008D6789">
      <w:pPr>
        <w:pStyle w:val="NoSpacing"/>
        <w:numPr>
          <w:ilvl w:val="0"/>
          <w:numId w:val="8"/>
        </w:numPr>
        <w:spacing w:line="276" w:lineRule="auto"/>
        <w:jc w:val="both"/>
        <w:rPr>
          <w:rFonts w:ascii="Times New Roman" w:hAnsi="Times New Roman" w:cs="Times New Roman"/>
          <w:lang w:val="en-US"/>
        </w:rPr>
      </w:pPr>
      <w:r w:rsidRPr="00F71A0A">
        <w:rPr>
          <w:rFonts w:ascii="Times New Roman" w:hAnsi="Times New Roman" w:cs="Times New Roman"/>
          <w:lang w:val="en-US"/>
        </w:rPr>
        <w:t>compel a Contractor to make remedial payments, as provided for in Regulation [</w:t>
      </w:r>
      <w:r>
        <w:rPr>
          <w:rFonts w:ascii="Times New Roman" w:hAnsi="Times New Roman" w:cs="Times New Roman"/>
          <w:lang w:val="en-US"/>
        </w:rPr>
        <w:t>103qu</w:t>
      </w:r>
      <w:r w:rsidR="00C16A8A">
        <w:rPr>
          <w:rFonts w:ascii="Times New Roman" w:hAnsi="Times New Roman" w:cs="Times New Roman"/>
          <w:lang w:val="en-US"/>
        </w:rPr>
        <w:t>in</w:t>
      </w:r>
      <w:r w:rsidRPr="00F71A0A">
        <w:rPr>
          <w:rFonts w:ascii="Times New Roman" w:hAnsi="Times New Roman" w:cs="Times New Roman"/>
          <w:lang w:val="en-US"/>
        </w:rPr>
        <w:t>]</w:t>
      </w:r>
      <w:r w:rsidR="002A6813">
        <w:rPr>
          <w:rFonts w:ascii="Times New Roman" w:hAnsi="Times New Roman" w:cs="Times New Roman"/>
          <w:lang w:val="en-US"/>
        </w:rPr>
        <w:t>.</w:t>
      </w:r>
    </w:p>
    <w:p w14:paraId="51ED5BA1" w14:textId="77777777" w:rsidR="002A6813" w:rsidRDefault="002A6813" w:rsidP="002A6813">
      <w:pPr>
        <w:pStyle w:val="NoSpacing"/>
        <w:spacing w:line="276" w:lineRule="auto"/>
        <w:jc w:val="both"/>
        <w:rPr>
          <w:rFonts w:ascii="Times New Roman" w:hAnsi="Times New Roman" w:cs="Times New Roman"/>
          <w:lang w:val="en-US"/>
        </w:rPr>
      </w:pPr>
    </w:p>
    <w:p w14:paraId="2C3474DF" w14:textId="2464E0F0" w:rsidR="002A6813" w:rsidRDefault="002A6813" w:rsidP="002A6813">
      <w:pPr>
        <w:pStyle w:val="NoSpacing"/>
        <w:spacing w:line="276" w:lineRule="auto"/>
        <w:jc w:val="both"/>
        <w:rPr>
          <w:rFonts w:ascii="Times New Roman" w:hAnsi="Times New Roman" w:cs="Times New Roman"/>
          <w:lang w:val="en-US"/>
        </w:rPr>
      </w:pPr>
      <w:r>
        <w:rPr>
          <w:rFonts w:ascii="Times New Roman" w:hAnsi="Times New Roman" w:cs="Times New Roman"/>
          <w:lang w:val="en-US"/>
        </w:rPr>
        <w:t>3</w:t>
      </w:r>
      <w:r w:rsidRPr="00C151E9">
        <w:rPr>
          <w:rFonts w:ascii="Times New Roman" w:hAnsi="Times New Roman" w:cs="Times New Roman"/>
          <w:lang w:val="en-US"/>
        </w:rPr>
        <w:t xml:space="preserve">. </w:t>
      </w:r>
      <w:r>
        <w:rPr>
          <w:rFonts w:ascii="Times New Roman" w:hAnsi="Times New Roman" w:cs="Times New Roman"/>
          <w:lang w:val="en-US"/>
        </w:rPr>
        <w:t>The Compliance Committee may recommend to the Council</w:t>
      </w:r>
      <w:r w:rsidR="005143CF">
        <w:rPr>
          <w:rFonts w:ascii="Times New Roman" w:hAnsi="Times New Roman" w:cs="Times New Roman"/>
          <w:lang w:val="en-US"/>
        </w:rPr>
        <w:t xml:space="preserve">, </w:t>
      </w:r>
      <w:r w:rsidR="0054408A">
        <w:rPr>
          <w:rFonts w:ascii="Times New Roman" w:hAnsi="Times New Roman" w:cs="Times New Roman"/>
          <w:i/>
          <w:iCs/>
          <w:lang w:val="en-US"/>
        </w:rPr>
        <w:t>inter alia</w:t>
      </w:r>
      <w:r w:rsidR="005143CF">
        <w:rPr>
          <w:rFonts w:ascii="Times New Roman" w:hAnsi="Times New Roman" w:cs="Times New Roman"/>
          <w:lang w:val="en-US"/>
        </w:rPr>
        <w:t>,</w:t>
      </w:r>
      <w:r>
        <w:rPr>
          <w:rFonts w:ascii="Times New Roman" w:hAnsi="Times New Roman" w:cs="Times New Roman"/>
          <w:lang w:val="en-US"/>
        </w:rPr>
        <w:t xml:space="preserve"> that the Council: </w:t>
      </w:r>
    </w:p>
    <w:p w14:paraId="536D423B" w14:textId="77777777" w:rsidR="002A6813" w:rsidRPr="00F71A0A" w:rsidRDefault="002A6813" w:rsidP="002A6813">
      <w:pPr>
        <w:pStyle w:val="NoSpacing"/>
        <w:spacing w:line="276" w:lineRule="auto"/>
        <w:ind w:left="780"/>
        <w:jc w:val="both"/>
        <w:rPr>
          <w:rFonts w:ascii="Times New Roman" w:hAnsi="Times New Roman" w:cs="Times New Roman"/>
          <w:lang w:val="en-US"/>
        </w:rPr>
      </w:pPr>
    </w:p>
    <w:p w14:paraId="3FBDD508" w14:textId="77777777" w:rsidR="00C16A8A" w:rsidRDefault="008D6789" w:rsidP="002A6813">
      <w:pPr>
        <w:pStyle w:val="NoSpacing"/>
        <w:numPr>
          <w:ilvl w:val="0"/>
          <w:numId w:val="29"/>
        </w:numPr>
        <w:spacing w:line="276" w:lineRule="auto"/>
        <w:jc w:val="both"/>
        <w:rPr>
          <w:rFonts w:ascii="Times New Roman" w:hAnsi="Times New Roman" w:cs="Times New Roman"/>
          <w:lang w:val="en-US"/>
        </w:rPr>
      </w:pPr>
      <w:r w:rsidRPr="00F71A0A">
        <w:rPr>
          <w:rFonts w:ascii="Times New Roman" w:hAnsi="Times New Roman" w:cs="Times New Roman"/>
          <w:lang w:val="en-US"/>
        </w:rPr>
        <w:t>compel</w:t>
      </w:r>
      <w:r w:rsidR="002A6813">
        <w:rPr>
          <w:rFonts w:ascii="Times New Roman" w:hAnsi="Times New Roman" w:cs="Times New Roman"/>
          <w:lang w:val="en-US"/>
        </w:rPr>
        <w:t>s</w:t>
      </w:r>
      <w:r w:rsidRPr="00F71A0A">
        <w:rPr>
          <w:rFonts w:ascii="Times New Roman" w:hAnsi="Times New Roman" w:cs="Times New Roman"/>
          <w:lang w:val="en-US"/>
        </w:rPr>
        <w:t xml:space="preserve"> a Contractor to make penalty payments</w:t>
      </w:r>
      <w:r w:rsidR="002A6813">
        <w:rPr>
          <w:rFonts w:ascii="Times New Roman" w:hAnsi="Times New Roman" w:cs="Times New Roman"/>
          <w:lang w:val="en-US"/>
        </w:rPr>
        <w:t xml:space="preserve"> or impose a fine upon a Contractor</w:t>
      </w:r>
      <w:r w:rsidRPr="00F71A0A">
        <w:rPr>
          <w:rFonts w:ascii="Times New Roman" w:hAnsi="Times New Roman" w:cs="Times New Roman"/>
          <w:lang w:val="en-US"/>
        </w:rPr>
        <w:t xml:space="preserve">; </w:t>
      </w:r>
    </w:p>
    <w:p w14:paraId="1AAC0463" w14:textId="15EA6050" w:rsidR="008D6789" w:rsidRPr="00F71A0A" w:rsidRDefault="00C16A8A" w:rsidP="002A6813">
      <w:pPr>
        <w:pStyle w:val="NoSpacing"/>
        <w:numPr>
          <w:ilvl w:val="0"/>
          <w:numId w:val="29"/>
        </w:numPr>
        <w:spacing w:line="276" w:lineRule="auto"/>
        <w:jc w:val="both"/>
        <w:rPr>
          <w:rFonts w:ascii="Times New Roman" w:hAnsi="Times New Roman" w:cs="Times New Roman"/>
          <w:lang w:val="en-US"/>
        </w:rPr>
      </w:pPr>
      <w:r>
        <w:rPr>
          <w:rFonts w:ascii="Times New Roman" w:hAnsi="Times New Roman" w:cs="Times New Roman"/>
          <w:lang w:val="en-US"/>
        </w:rPr>
        <w:t xml:space="preserve">[issues emergency orders;] </w:t>
      </w:r>
      <w:r w:rsidR="00786A30">
        <w:rPr>
          <w:rFonts w:ascii="Times New Roman" w:hAnsi="Times New Roman" w:cs="Times New Roman"/>
          <w:lang w:val="en-US"/>
        </w:rPr>
        <w:t>or</w:t>
      </w:r>
    </w:p>
    <w:p w14:paraId="148D7B08" w14:textId="437259E4" w:rsidR="008D6789" w:rsidRPr="00F71A0A" w:rsidRDefault="008D6789" w:rsidP="002A6813">
      <w:pPr>
        <w:pStyle w:val="NoSpacing"/>
        <w:numPr>
          <w:ilvl w:val="0"/>
          <w:numId w:val="29"/>
        </w:numPr>
        <w:spacing w:line="276" w:lineRule="auto"/>
        <w:jc w:val="both"/>
        <w:rPr>
          <w:rFonts w:ascii="Times New Roman" w:hAnsi="Times New Roman" w:cs="Times New Roman"/>
          <w:lang w:val="en-US"/>
        </w:rPr>
      </w:pPr>
      <w:r w:rsidRPr="00F71A0A">
        <w:rPr>
          <w:rFonts w:ascii="Times New Roman" w:hAnsi="Times New Roman" w:cs="Times New Roman"/>
          <w:lang w:val="en-US"/>
        </w:rPr>
        <w:t>suspends or terminates a Contractor’s rights under an Exploitation Contract</w:t>
      </w:r>
      <w:r w:rsidR="00483777">
        <w:rPr>
          <w:rFonts w:ascii="Times New Roman" w:hAnsi="Times New Roman" w:cs="Times New Roman"/>
          <w:lang w:val="en-US"/>
        </w:rPr>
        <w:t>,</w:t>
      </w:r>
      <w:r w:rsidRPr="00F71A0A">
        <w:rPr>
          <w:rFonts w:ascii="Times New Roman" w:hAnsi="Times New Roman" w:cs="Times New Roman"/>
          <w:lang w:val="en-US"/>
        </w:rPr>
        <w:t xml:space="preserve"> if:  </w:t>
      </w:r>
    </w:p>
    <w:p w14:paraId="12B59815" w14:textId="77777777" w:rsidR="008D6789" w:rsidRDefault="008D6789" w:rsidP="008D6789">
      <w:pPr>
        <w:pStyle w:val="NoSpacing"/>
        <w:numPr>
          <w:ilvl w:val="0"/>
          <w:numId w:val="28"/>
        </w:numPr>
        <w:spacing w:line="276" w:lineRule="auto"/>
        <w:jc w:val="both"/>
        <w:rPr>
          <w:rFonts w:ascii="Times New Roman" w:hAnsi="Times New Roman" w:cs="Times New Roman"/>
          <w:lang w:val="en-US"/>
        </w:rPr>
      </w:pPr>
      <w:r w:rsidRPr="00F71A0A">
        <w:rPr>
          <w:rFonts w:ascii="Times New Roman" w:hAnsi="Times New Roman" w:cs="Times New Roman"/>
          <w:lang w:val="en-US"/>
        </w:rPr>
        <w:t>in spite of warnings by the Authority, the contractor has conducted his activities in such a way as to result in serious, persistent and willful violations of the fundamental terms of the contract, Part XI and the rules, regulations and procedures</w:t>
      </w:r>
      <w:r w:rsidRPr="00D92A41">
        <w:rPr>
          <w:rFonts w:ascii="Times New Roman" w:hAnsi="Times New Roman" w:cs="Times New Roman"/>
          <w:lang w:val="en-US"/>
        </w:rPr>
        <w:t xml:space="preserve"> of</w:t>
      </w:r>
      <w:r>
        <w:rPr>
          <w:rFonts w:ascii="Times New Roman" w:hAnsi="Times New Roman" w:cs="Times New Roman"/>
          <w:lang w:val="en-US"/>
        </w:rPr>
        <w:t xml:space="preserve"> </w:t>
      </w:r>
      <w:r w:rsidRPr="00D92A41">
        <w:rPr>
          <w:rFonts w:ascii="Times New Roman" w:hAnsi="Times New Roman" w:cs="Times New Roman"/>
          <w:lang w:val="en-US"/>
        </w:rPr>
        <w:t>the Authority;</w:t>
      </w:r>
      <w:r>
        <w:rPr>
          <w:rFonts w:ascii="Times New Roman" w:hAnsi="Times New Roman" w:cs="Times New Roman"/>
          <w:lang w:val="en-US"/>
        </w:rPr>
        <w:t xml:space="preserve"> or</w:t>
      </w:r>
    </w:p>
    <w:p w14:paraId="5B981D9E" w14:textId="77777777" w:rsidR="008D6789" w:rsidRPr="00D92A41" w:rsidRDefault="008D6789" w:rsidP="008D6789">
      <w:pPr>
        <w:pStyle w:val="NoSpacing"/>
        <w:numPr>
          <w:ilvl w:val="0"/>
          <w:numId w:val="28"/>
        </w:numPr>
        <w:spacing w:line="276" w:lineRule="auto"/>
        <w:jc w:val="both"/>
        <w:rPr>
          <w:rFonts w:ascii="Times New Roman" w:hAnsi="Times New Roman" w:cs="Times New Roman"/>
          <w:lang w:val="en-US"/>
        </w:rPr>
      </w:pPr>
      <w:r w:rsidRPr="00406393">
        <w:rPr>
          <w:rFonts w:ascii="Times New Roman" w:hAnsi="Times New Roman" w:cs="Times New Roman"/>
          <w:lang w:val="en-US"/>
        </w:rPr>
        <w:t>the Contractor has failed to comply with a final binding decision of the dispute settlement body applicable to it.</w:t>
      </w:r>
    </w:p>
    <w:p w14:paraId="4E19DB79" w14:textId="77777777" w:rsidR="008D6789" w:rsidRDefault="008D6789" w:rsidP="004C6619">
      <w:pPr>
        <w:pStyle w:val="NoSpacing"/>
        <w:spacing w:line="276" w:lineRule="auto"/>
        <w:jc w:val="both"/>
        <w:rPr>
          <w:rFonts w:ascii="Times New Roman" w:hAnsi="Times New Roman" w:cs="Times New Roman"/>
          <w:lang w:val="en-US"/>
        </w:rPr>
      </w:pPr>
    </w:p>
    <w:p w14:paraId="5CD8F623" w14:textId="29EEA666" w:rsidR="008D6789" w:rsidRDefault="00786A30" w:rsidP="008D6789">
      <w:pPr>
        <w:pStyle w:val="NoSpacing"/>
        <w:spacing w:line="276" w:lineRule="auto"/>
        <w:jc w:val="both"/>
        <w:rPr>
          <w:rFonts w:ascii="Times New Roman" w:hAnsi="Times New Roman" w:cs="Times New Roman"/>
          <w:lang w:val="en-US"/>
        </w:rPr>
      </w:pPr>
      <w:r>
        <w:rPr>
          <w:rFonts w:ascii="Times New Roman" w:hAnsi="Times New Roman" w:cs="Times New Roman"/>
          <w:lang w:val="en-US"/>
        </w:rPr>
        <w:t>4</w:t>
      </w:r>
      <w:r w:rsidR="008D6789">
        <w:rPr>
          <w:rFonts w:ascii="Times New Roman" w:hAnsi="Times New Roman" w:cs="Times New Roman"/>
          <w:lang w:val="en-US"/>
        </w:rPr>
        <w:t xml:space="preserve">. When taking or recommending measures </w:t>
      </w:r>
      <w:r w:rsidR="008D6789" w:rsidRPr="001E3F02">
        <w:rPr>
          <w:rFonts w:ascii="Times New Roman" w:hAnsi="Times New Roman" w:cs="Times New Roman"/>
          <w:lang w:val="en-US"/>
        </w:rPr>
        <w:t xml:space="preserve">under </w:t>
      </w:r>
      <w:r w:rsidR="00483777">
        <w:rPr>
          <w:rFonts w:ascii="Times New Roman" w:hAnsi="Times New Roman" w:cs="Times New Roman"/>
          <w:lang w:val="en-US"/>
        </w:rPr>
        <w:t>this Regulation</w:t>
      </w:r>
      <w:r w:rsidR="008D6789" w:rsidRPr="001E3F02">
        <w:rPr>
          <w:rFonts w:ascii="Times New Roman" w:hAnsi="Times New Roman" w:cs="Times New Roman"/>
          <w:lang w:val="en-US"/>
        </w:rPr>
        <w:t xml:space="preserve">, the </w:t>
      </w:r>
      <w:r w:rsidR="008D6789">
        <w:rPr>
          <w:rFonts w:ascii="Times New Roman" w:hAnsi="Times New Roman" w:cs="Times New Roman"/>
          <w:lang w:val="en-US"/>
        </w:rPr>
        <w:t xml:space="preserve">Compliance Committee may: </w:t>
      </w:r>
    </w:p>
    <w:p w14:paraId="0A679068" w14:textId="77777777" w:rsidR="008D6789" w:rsidRDefault="008D6789" w:rsidP="008D6789">
      <w:pPr>
        <w:pStyle w:val="NoSpacing"/>
        <w:spacing w:line="276" w:lineRule="auto"/>
        <w:jc w:val="both"/>
        <w:rPr>
          <w:rFonts w:ascii="Times New Roman" w:hAnsi="Times New Roman" w:cs="Times New Roman"/>
          <w:lang w:val="en-US"/>
        </w:rPr>
      </w:pPr>
    </w:p>
    <w:p w14:paraId="421BAAA4" w14:textId="6BC4C95A" w:rsidR="008D6789" w:rsidRDefault="008D6789" w:rsidP="008D6789">
      <w:pPr>
        <w:pStyle w:val="NoSpacing"/>
        <w:numPr>
          <w:ilvl w:val="0"/>
          <w:numId w:val="9"/>
        </w:numPr>
        <w:spacing w:line="276" w:lineRule="auto"/>
        <w:jc w:val="both"/>
        <w:rPr>
          <w:rFonts w:ascii="Times New Roman" w:hAnsi="Times New Roman" w:cs="Times New Roman"/>
          <w:lang w:val="en-US"/>
        </w:rPr>
      </w:pPr>
      <w:r>
        <w:rPr>
          <w:rFonts w:ascii="Times New Roman" w:hAnsi="Times New Roman" w:cs="Times New Roman"/>
          <w:lang w:val="en-US"/>
        </w:rPr>
        <w:t xml:space="preserve">provide that the Contractor is </w:t>
      </w:r>
      <w:r w:rsidR="00D57F18">
        <w:rPr>
          <w:rFonts w:ascii="Times New Roman" w:hAnsi="Times New Roman" w:cs="Times New Roman"/>
          <w:lang w:val="en-US"/>
        </w:rPr>
        <w:t xml:space="preserve">obliged </w:t>
      </w:r>
      <w:r>
        <w:rPr>
          <w:rFonts w:ascii="Times New Roman" w:hAnsi="Times New Roman" w:cs="Times New Roman"/>
          <w:lang w:val="en-US"/>
        </w:rPr>
        <w:t xml:space="preserve">to ensure it complies with the Exploitation Contract within a specified time limit; </w:t>
      </w:r>
    </w:p>
    <w:p w14:paraId="3A6E2CA5" w14:textId="77777777" w:rsidR="008D6789" w:rsidRDefault="008D6789" w:rsidP="008D6789">
      <w:pPr>
        <w:pStyle w:val="NoSpacing"/>
        <w:numPr>
          <w:ilvl w:val="0"/>
          <w:numId w:val="9"/>
        </w:numPr>
        <w:spacing w:line="276" w:lineRule="auto"/>
        <w:jc w:val="both"/>
        <w:rPr>
          <w:rFonts w:ascii="Times New Roman" w:hAnsi="Times New Roman" w:cs="Times New Roman"/>
          <w:lang w:val="en-US"/>
        </w:rPr>
      </w:pPr>
      <w:r>
        <w:rPr>
          <w:rFonts w:ascii="Times New Roman" w:hAnsi="Times New Roman" w:cs="Times New Roman"/>
          <w:lang w:val="en-US"/>
        </w:rPr>
        <w:t xml:space="preserve">prescribe that the measures are conditional; </w:t>
      </w:r>
    </w:p>
    <w:p w14:paraId="2FB39254" w14:textId="346AF3AC" w:rsidR="008D6789" w:rsidRDefault="008D6789" w:rsidP="008D6789">
      <w:pPr>
        <w:pStyle w:val="NoSpacing"/>
        <w:numPr>
          <w:ilvl w:val="0"/>
          <w:numId w:val="9"/>
        </w:numPr>
        <w:spacing w:line="276" w:lineRule="auto"/>
        <w:jc w:val="both"/>
        <w:rPr>
          <w:rFonts w:ascii="Times New Roman" w:hAnsi="Times New Roman" w:cs="Times New Roman"/>
          <w:lang w:val="en-US"/>
        </w:rPr>
      </w:pPr>
      <w:r>
        <w:rPr>
          <w:rFonts w:ascii="Times New Roman" w:hAnsi="Times New Roman" w:cs="Times New Roman"/>
          <w:lang w:val="en-US"/>
        </w:rPr>
        <w:t xml:space="preserve">prescribe anticipatory measures which are to become effective </w:t>
      </w:r>
      <w:r w:rsidR="00D57F18">
        <w:rPr>
          <w:rFonts w:ascii="Times New Roman" w:hAnsi="Times New Roman" w:cs="Times New Roman"/>
          <w:lang w:val="en-US"/>
        </w:rPr>
        <w:t>if</w:t>
      </w:r>
      <w:r>
        <w:rPr>
          <w:rFonts w:ascii="Times New Roman" w:hAnsi="Times New Roman" w:cs="Times New Roman"/>
          <w:lang w:val="en-US"/>
        </w:rPr>
        <w:t xml:space="preserve"> the Compliance Committee </w:t>
      </w:r>
      <w:r w:rsidR="00D57F18">
        <w:rPr>
          <w:rFonts w:ascii="Times New Roman" w:hAnsi="Times New Roman" w:cs="Times New Roman"/>
          <w:lang w:val="en-US"/>
        </w:rPr>
        <w:t xml:space="preserve">finds </w:t>
      </w:r>
      <w:r>
        <w:rPr>
          <w:rFonts w:ascii="Times New Roman" w:hAnsi="Times New Roman" w:cs="Times New Roman"/>
          <w:lang w:val="en-US"/>
        </w:rPr>
        <w:t xml:space="preserve">that the Contractor has breached the Exploitation Contract </w:t>
      </w:r>
      <w:r w:rsidR="00D57F18">
        <w:rPr>
          <w:rFonts w:ascii="Times New Roman" w:hAnsi="Times New Roman" w:cs="Times New Roman"/>
          <w:lang w:val="en-US"/>
        </w:rPr>
        <w:t xml:space="preserve">a second time </w:t>
      </w:r>
      <w:r>
        <w:rPr>
          <w:rFonts w:ascii="Times New Roman" w:hAnsi="Times New Roman" w:cs="Times New Roman"/>
          <w:lang w:val="en-US"/>
        </w:rPr>
        <w:t xml:space="preserve">and </w:t>
      </w:r>
      <w:r w:rsidR="00D57F18">
        <w:rPr>
          <w:rFonts w:ascii="Times New Roman" w:hAnsi="Times New Roman" w:cs="Times New Roman"/>
          <w:lang w:val="en-US"/>
        </w:rPr>
        <w:t xml:space="preserve">has </w:t>
      </w:r>
      <w:r>
        <w:rPr>
          <w:rFonts w:ascii="Times New Roman" w:hAnsi="Times New Roman" w:cs="Times New Roman"/>
          <w:lang w:val="en-US"/>
        </w:rPr>
        <w:t>communicate</w:t>
      </w:r>
      <w:r w:rsidR="00D57F18">
        <w:rPr>
          <w:rFonts w:ascii="Times New Roman" w:hAnsi="Times New Roman" w:cs="Times New Roman"/>
          <w:lang w:val="en-US"/>
        </w:rPr>
        <w:t>d</w:t>
      </w:r>
      <w:r>
        <w:rPr>
          <w:rFonts w:ascii="Times New Roman" w:hAnsi="Times New Roman" w:cs="Times New Roman"/>
          <w:lang w:val="en-US"/>
        </w:rPr>
        <w:t xml:space="preserve"> such finding to the Contractor; and</w:t>
      </w:r>
    </w:p>
    <w:p w14:paraId="170178EF" w14:textId="77777777" w:rsidR="008D6789" w:rsidRDefault="008D6789" w:rsidP="008D6789">
      <w:pPr>
        <w:pStyle w:val="NoSpacing"/>
        <w:numPr>
          <w:ilvl w:val="0"/>
          <w:numId w:val="9"/>
        </w:numPr>
        <w:spacing w:line="276" w:lineRule="auto"/>
        <w:jc w:val="both"/>
        <w:rPr>
          <w:rFonts w:ascii="Times New Roman" w:hAnsi="Times New Roman" w:cs="Times New Roman"/>
          <w:lang w:val="en-US"/>
        </w:rPr>
      </w:pPr>
      <w:r>
        <w:rPr>
          <w:rFonts w:ascii="Times New Roman" w:hAnsi="Times New Roman" w:cs="Times New Roman"/>
          <w:lang w:val="en-US"/>
        </w:rPr>
        <w:t xml:space="preserve">adopt a combination of measures. </w:t>
      </w:r>
    </w:p>
    <w:p w14:paraId="5EFDF166" w14:textId="77777777" w:rsidR="008D6789" w:rsidRDefault="008D6789" w:rsidP="002107DF">
      <w:pPr>
        <w:pStyle w:val="NoSpacing"/>
        <w:spacing w:line="276" w:lineRule="auto"/>
        <w:jc w:val="both"/>
        <w:rPr>
          <w:rFonts w:ascii="Times New Roman" w:hAnsi="Times New Roman" w:cs="Times New Roman"/>
          <w:lang w:val="en-US"/>
        </w:rPr>
      </w:pPr>
    </w:p>
    <w:p w14:paraId="76278FAB" w14:textId="6F9693BE" w:rsidR="00113C9B" w:rsidRDefault="00113C9B" w:rsidP="00113C9B">
      <w:pPr>
        <w:pStyle w:val="NoSpacing"/>
        <w:spacing w:line="276" w:lineRule="auto"/>
        <w:jc w:val="both"/>
        <w:rPr>
          <w:rFonts w:ascii="Times New Roman" w:hAnsi="Times New Roman" w:cs="Times New Roman"/>
          <w:lang w:val="en-US"/>
        </w:rPr>
      </w:pPr>
      <w:r w:rsidRPr="00113C9B">
        <w:rPr>
          <w:rFonts w:ascii="Times New Roman" w:hAnsi="Times New Roman" w:cs="Times New Roman"/>
          <w:lang w:val="en-US"/>
        </w:rPr>
        <w:t>5. The procedures through which the measures in paragraphs 2, 3 and 4 are to be taken or recommended,</w:t>
      </w:r>
      <w:r w:rsidR="0004796A">
        <w:rPr>
          <w:rFonts w:ascii="Times New Roman" w:hAnsi="Times New Roman" w:cs="Times New Roman"/>
          <w:lang w:val="en-US"/>
        </w:rPr>
        <w:t xml:space="preserve"> are further set out</w:t>
      </w:r>
      <w:r w:rsidRPr="00113C9B">
        <w:rPr>
          <w:rFonts w:ascii="Times New Roman" w:hAnsi="Times New Roman" w:cs="Times New Roman"/>
          <w:lang w:val="en-US"/>
        </w:rPr>
        <w:t xml:space="preserve"> in </w:t>
      </w:r>
      <w:r w:rsidR="0004796A">
        <w:rPr>
          <w:rFonts w:ascii="Times New Roman" w:hAnsi="Times New Roman" w:cs="Times New Roman"/>
          <w:lang w:val="en-US"/>
        </w:rPr>
        <w:t xml:space="preserve">a </w:t>
      </w:r>
      <w:r w:rsidR="0046478C">
        <w:rPr>
          <w:rFonts w:ascii="Times New Roman" w:hAnsi="Times New Roman" w:cs="Times New Roman"/>
          <w:lang w:val="en-US"/>
        </w:rPr>
        <w:t>S</w:t>
      </w:r>
      <w:r w:rsidRPr="00113C9B">
        <w:rPr>
          <w:rFonts w:ascii="Times New Roman" w:hAnsi="Times New Roman" w:cs="Times New Roman"/>
          <w:lang w:val="en-US"/>
        </w:rPr>
        <w:t>tandard</w:t>
      </w:r>
      <w:r w:rsidR="00EB5FE7">
        <w:rPr>
          <w:rFonts w:ascii="Times New Roman" w:hAnsi="Times New Roman" w:cs="Times New Roman"/>
          <w:lang w:val="en-US"/>
        </w:rPr>
        <w:t xml:space="preserve">, which </w:t>
      </w:r>
      <w:r w:rsidR="0004796A">
        <w:rPr>
          <w:rFonts w:ascii="Times New Roman" w:hAnsi="Times New Roman" w:cs="Times New Roman"/>
          <w:lang w:val="en-US"/>
        </w:rPr>
        <w:t>shall be applied by the Compliance Committee</w:t>
      </w:r>
      <w:r w:rsidRPr="00113C9B">
        <w:rPr>
          <w:rFonts w:ascii="Times New Roman" w:hAnsi="Times New Roman" w:cs="Times New Roman"/>
          <w:lang w:val="en-US"/>
        </w:rPr>
        <w:t>.</w:t>
      </w:r>
      <w:r>
        <w:rPr>
          <w:rFonts w:ascii="Times New Roman" w:hAnsi="Times New Roman" w:cs="Times New Roman"/>
          <w:lang w:val="en-US"/>
        </w:rPr>
        <w:t xml:space="preserve"> </w:t>
      </w:r>
    </w:p>
    <w:p w14:paraId="5EE84472" w14:textId="77777777" w:rsidR="00113C9B" w:rsidRDefault="00113C9B" w:rsidP="002107DF">
      <w:pPr>
        <w:pStyle w:val="NoSpacing"/>
        <w:spacing w:line="276" w:lineRule="auto"/>
        <w:jc w:val="both"/>
        <w:rPr>
          <w:rFonts w:ascii="Times New Roman" w:hAnsi="Times New Roman" w:cs="Times New Roman"/>
          <w:lang w:val="en-US"/>
        </w:rPr>
      </w:pPr>
    </w:p>
    <w:p w14:paraId="679ABBD2" w14:textId="6FB943AB" w:rsidR="00CD5BE6" w:rsidRDefault="00113C9B" w:rsidP="002107DF">
      <w:pPr>
        <w:pStyle w:val="NoSpacing"/>
        <w:spacing w:line="276" w:lineRule="auto"/>
        <w:jc w:val="both"/>
        <w:rPr>
          <w:rFonts w:ascii="Times New Roman" w:hAnsi="Times New Roman" w:cs="Times New Roman"/>
          <w:lang w:val="en-US"/>
        </w:rPr>
      </w:pPr>
      <w:r>
        <w:rPr>
          <w:rFonts w:ascii="Times New Roman" w:hAnsi="Times New Roman" w:cs="Times New Roman"/>
          <w:lang w:val="en-US"/>
        </w:rPr>
        <w:t>6</w:t>
      </w:r>
      <w:r w:rsidR="00CD5BE6">
        <w:rPr>
          <w:rFonts w:ascii="Times New Roman" w:hAnsi="Times New Roman" w:cs="Times New Roman"/>
          <w:lang w:val="en-US"/>
        </w:rPr>
        <w:t xml:space="preserve">. </w:t>
      </w:r>
      <w:r w:rsidR="0046478C">
        <w:rPr>
          <w:rFonts w:ascii="Times New Roman" w:hAnsi="Times New Roman" w:cs="Times New Roman"/>
          <w:lang w:val="en-US"/>
        </w:rPr>
        <w:t>Where</w:t>
      </w:r>
      <w:r w:rsidR="00CD5BE6" w:rsidRPr="00CD5BE6">
        <w:rPr>
          <w:rFonts w:ascii="Times New Roman" w:hAnsi="Times New Roman" w:cs="Times New Roman"/>
          <w:lang w:val="en-US"/>
        </w:rPr>
        <w:t xml:space="preserve"> </w:t>
      </w:r>
      <w:r w:rsidR="00B31CFA">
        <w:rPr>
          <w:rFonts w:ascii="Times New Roman" w:hAnsi="Times New Roman" w:cs="Times New Roman"/>
          <w:lang w:val="en-US"/>
        </w:rPr>
        <w:t>a Contractor</w:t>
      </w:r>
      <w:r w:rsidR="004146A3">
        <w:rPr>
          <w:rFonts w:ascii="Times New Roman" w:hAnsi="Times New Roman" w:cs="Times New Roman"/>
          <w:lang w:val="en-US"/>
        </w:rPr>
        <w:t xml:space="preserve"> does not comply with </w:t>
      </w:r>
      <w:r w:rsidR="0046478C">
        <w:rPr>
          <w:rFonts w:ascii="Times New Roman" w:hAnsi="Times New Roman" w:cs="Times New Roman"/>
          <w:lang w:val="en-US"/>
        </w:rPr>
        <w:t>one or more terms or conditions of</w:t>
      </w:r>
      <w:r w:rsidR="004146A3">
        <w:rPr>
          <w:rFonts w:ascii="Times New Roman" w:hAnsi="Times New Roman" w:cs="Times New Roman"/>
          <w:lang w:val="en-US"/>
        </w:rPr>
        <w:t xml:space="preserve"> the Exploitation Contract, </w:t>
      </w:r>
      <w:r w:rsidR="00CD5BE6">
        <w:rPr>
          <w:rFonts w:ascii="Times New Roman" w:hAnsi="Times New Roman" w:cs="Times New Roman"/>
          <w:lang w:val="en-US"/>
        </w:rPr>
        <w:t xml:space="preserve">measures </w:t>
      </w:r>
      <w:r w:rsidR="00CD5BE6" w:rsidRPr="00CD5BE6">
        <w:rPr>
          <w:rFonts w:ascii="Times New Roman" w:hAnsi="Times New Roman" w:cs="Times New Roman"/>
          <w:lang w:val="en-US"/>
        </w:rPr>
        <w:t xml:space="preserve">may be imposed for </w:t>
      </w:r>
      <w:r w:rsidR="004146A3">
        <w:rPr>
          <w:rFonts w:ascii="Times New Roman" w:hAnsi="Times New Roman" w:cs="Times New Roman"/>
          <w:lang w:val="en-US"/>
        </w:rPr>
        <w:t>each respective breach</w:t>
      </w:r>
      <w:r w:rsidR="0046478C">
        <w:rPr>
          <w:rFonts w:ascii="Times New Roman" w:hAnsi="Times New Roman" w:cs="Times New Roman"/>
          <w:lang w:val="en-US"/>
        </w:rPr>
        <w:t xml:space="preserve"> of the relevant term or condition</w:t>
      </w:r>
      <w:r w:rsidR="00CD5BE6" w:rsidRPr="00CD5BE6">
        <w:rPr>
          <w:rFonts w:ascii="Times New Roman" w:hAnsi="Times New Roman" w:cs="Times New Roman"/>
          <w:lang w:val="en-US"/>
        </w:rPr>
        <w:t>.</w:t>
      </w:r>
    </w:p>
    <w:p w14:paraId="60BED103" w14:textId="77777777" w:rsidR="0046478C" w:rsidRDefault="0046478C" w:rsidP="002107DF">
      <w:pPr>
        <w:pStyle w:val="NoSpacing"/>
        <w:spacing w:line="276" w:lineRule="auto"/>
        <w:jc w:val="both"/>
        <w:rPr>
          <w:rFonts w:ascii="Times New Roman" w:hAnsi="Times New Roman" w:cs="Times New Roman"/>
          <w:lang w:val="en-US"/>
        </w:rPr>
      </w:pPr>
    </w:p>
    <w:p w14:paraId="2D49B2B0" w14:textId="45E12B76" w:rsidR="0046478C" w:rsidRDefault="0046478C" w:rsidP="002107DF">
      <w:pPr>
        <w:pStyle w:val="NoSpacing"/>
        <w:spacing w:line="276" w:lineRule="auto"/>
        <w:jc w:val="both"/>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 xml:space="preserve">. The Compliance Committee </w:t>
      </w:r>
      <w:r>
        <w:rPr>
          <w:rFonts w:ascii="Times New Roman" w:hAnsi="Times New Roman" w:cs="Times New Roman"/>
          <w:lang w:val="en-US"/>
        </w:rPr>
        <w:t>may,</w:t>
      </w:r>
      <w:r>
        <w:rPr>
          <w:rFonts w:ascii="Times New Roman" w:hAnsi="Times New Roman" w:cs="Times New Roman"/>
          <w:lang w:val="en-US"/>
        </w:rPr>
        <w:t xml:space="preserve"> for the purposes of </w:t>
      </w:r>
      <w:r>
        <w:rPr>
          <w:rFonts w:ascii="Times New Roman" w:hAnsi="Times New Roman" w:cs="Times New Roman"/>
          <w:lang w:val="en-US"/>
        </w:rPr>
        <w:t>any finding</w:t>
      </w:r>
      <w:r>
        <w:rPr>
          <w:rFonts w:ascii="Times New Roman" w:hAnsi="Times New Roman" w:cs="Times New Roman"/>
          <w:lang w:val="en-US"/>
        </w:rPr>
        <w:t xml:space="preserve"> under paragraph 1</w:t>
      </w:r>
      <w:r>
        <w:rPr>
          <w:rFonts w:ascii="Times New Roman" w:hAnsi="Times New Roman" w:cs="Times New Roman"/>
          <w:lang w:val="en-US"/>
        </w:rPr>
        <w:t xml:space="preserve"> that the Contractor has breached or is at risk of breaching its Exploitation Contract</w:t>
      </w:r>
      <w:r>
        <w:rPr>
          <w:rFonts w:ascii="Times New Roman" w:hAnsi="Times New Roman" w:cs="Times New Roman"/>
          <w:lang w:val="en-US"/>
        </w:rPr>
        <w:t>, request the Contractor through the Secretary-General</w:t>
      </w:r>
      <w:r w:rsidRPr="0046478C">
        <w:rPr>
          <w:lang w:val="en-ZA"/>
        </w:rPr>
        <w:t xml:space="preserve"> </w:t>
      </w:r>
      <w:r>
        <w:rPr>
          <w:rFonts w:ascii="Times New Roman" w:hAnsi="Times New Roman" w:cs="Times New Roman"/>
          <w:lang w:val="en-US"/>
        </w:rPr>
        <w:t>to</w:t>
      </w:r>
      <w:r w:rsidRPr="00453D8C">
        <w:rPr>
          <w:rFonts w:ascii="Times New Roman" w:hAnsi="Times New Roman" w:cs="Times New Roman"/>
          <w:lang w:val="en-US"/>
        </w:rPr>
        <w:t xml:space="preserve"> provide </w:t>
      </w:r>
      <w:r>
        <w:rPr>
          <w:rFonts w:ascii="Times New Roman" w:hAnsi="Times New Roman" w:cs="Times New Roman"/>
          <w:lang w:val="en-US"/>
        </w:rPr>
        <w:t>any relevant</w:t>
      </w:r>
      <w:r w:rsidRPr="00453D8C">
        <w:rPr>
          <w:rFonts w:ascii="Times New Roman" w:hAnsi="Times New Roman" w:cs="Times New Roman"/>
          <w:lang w:val="en-US"/>
        </w:rPr>
        <w:t xml:space="preserve"> documents or other information</w:t>
      </w:r>
      <w:r>
        <w:rPr>
          <w:rFonts w:ascii="Times New Roman" w:hAnsi="Times New Roman" w:cs="Times New Roman"/>
          <w:lang w:val="en-US"/>
        </w:rPr>
        <w:t xml:space="preserve"> and invite the Contractor to make any representations for consideration by the Compliance Committee</w:t>
      </w:r>
      <w:r>
        <w:rPr>
          <w:rFonts w:ascii="Times New Roman" w:hAnsi="Times New Roman" w:cs="Times New Roman"/>
          <w:lang w:val="en-US"/>
        </w:rPr>
        <w:t>.</w:t>
      </w:r>
    </w:p>
    <w:p w14:paraId="765671AA" w14:textId="77777777" w:rsidR="00006727" w:rsidRDefault="00006727" w:rsidP="002107DF">
      <w:pPr>
        <w:pStyle w:val="NoSpacing"/>
        <w:spacing w:line="276" w:lineRule="auto"/>
        <w:jc w:val="both"/>
        <w:rPr>
          <w:rFonts w:ascii="Times New Roman" w:hAnsi="Times New Roman" w:cs="Times New Roman"/>
          <w:lang w:val="en-US"/>
        </w:rPr>
      </w:pPr>
    </w:p>
    <w:p w14:paraId="15087421" w14:textId="220D333B" w:rsidR="008D6789" w:rsidRDefault="0046478C" w:rsidP="008D6789">
      <w:pPr>
        <w:pStyle w:val="NoSpacing"/>
        <w:spacing w:line="276" w:lineRule="auto"/>
        <w:jc w:val="both"/>
        <w:rPr>
          <w:rFonts w:ascii="Times New Roman" w:hAnsi="Times New Roman" w:cs="Times New Roman"/>
          <w:lang w:val="en-US"/>
        </w:rPr>
      </w:pPr>
      <w:r>
        <w:rPr>
          <w:rFonts w:ascii="Times New Roman" w:hAnsi="Times New Roman" w:cs="Times New Roman"/>
          <w:lang w:val="en-US"/>
        </w:rPr>
        <w:t>8</w:t>
      </w:r>
      <w:r w:rsidR="008D6789">
        <w:rPr>
          <w:rFonts w:ascii="Times New Roman" w:hAnsi="Times New Roman" w:cs="Times New Roman"/>
          <w:lang w:val="en-US"/>
        </w:rPr>
        <w:t>. The Compliance Committee may take or recommend measures by issuing a Non-Compliance Notice in accordance with Regulation [103</w:t>
      </w:r>
      <w:r w:rsidR="009670CF">
        <w:rPr>
          <w:rFonts w:ascii="Times New Roman" w:hAnsi="Times New Roman" w:cs="Times New Roman"/>
          <w:lang w:val="en-US"/>
        </w:rPr>
        <w:t>bis</w:t>
      </w:r>
      <w:r w:rsidR="008D6789">
        <w:rPr>
          <w:rFonts w:ascii="Times New Roman" w:hAnsi="Times New Roman" w:cs="Times New Roman"/>
          <w:lang w:val="en-US"/>
        </w:rPr>
        <w:t xml:space="preserve">]. </w:t>
      </w:r>
    </w:p>
    <w:p w14:paraId="47F4CA7A" w14:textId="77777777" w:rsidR="008D6789" w:rsidRDefault="008D6789" w:rsidP="002107DF">
      <w:pPr>
        <w:pStyle w:val="NoSpacing"/>
        <w:spacing w:line="276" w:lineRule="auto"/>
        <w:jc w:val="both"/>
        <w:rPr>
          <w:rFonts w:ascii="Times New Roman" w:hAnsi="Times New Roman" w:cs="Times New Roman"/>
          <w:lang w:val="en-US"/>
        </w:rPr>
      </w:pPr>
    </w:p>
    <w:p w14:paraId="3B6482A0" w14:textId="69DCE115" w:rsidR="00431196" w:rsidRPr="00431196" w:rsidRDefault="00431196" w:rsidP="00431196">
      <w:pPr>
        <w:pStyle w:val="NoSpacing"/>
        <w:spacing w:line="276" w:lineRule="auto"/>
        <w:rPr>
          <w:rFonts w:ascii="Times New Roman" w:hAnsi="Times New Roman" w:cs="Times New Roman"/>
          <w:b/>
          <w:bCs/>
          <w:sz w:val="24"/>
          <w:szCs w:val="24"/>
          <w:lang w:val="fr-FR"/>
        </w:rPr>
      </w:pPr>
      <w:proofErr w:type="spellStart"/>
      <w:r w:rsidRPr="00431196">
        <w:rPr>
          <w:rFonts w:ascii="Times New Roman" w:hAnsi="Times New Roman" w:cs="Times New Roman"/>
          <w:b/>
          <w:bCs/>
          <w:sz w:val="24"/>
          <w:szCs w:val="24"/>
          <w:lang w:val="fr-FR"/>
        </w:rPr>
        <w:t>Regulation</w:t>
      </w:r>
      <w:proofErr w:type="spellEnd"/>
      <w:r w:rsidRPr="00431196">
        <w:rPr>
          <w:rFonts w:ascii="Times New Roman" w:hAnsi="Times New Roman" w:cs="Times New Roman"/>
          <w:b/>
          <w:bCs/>
          <w:sz w:val="24"/>
          <w:szCs w:val="24"/>
          <w:lang w:val="fr-FR"/>
        </w:rPr>
        <w:t xml:space="preserve"> 103</w:t>
      </w:r>
      <w:r w:rsidR="009670CF">
        <w:rPr>
          <w:rFonts w:ascii="Times New Roman" w:hAnsi="Times New Roman" w:cs="Times New Roman"/>
          <w:b/>
          <w:bCs/>
          <w:sz w:val="24"/>
          <w:szCs w:val="24"/>
          <w:lang w:val="fr-FR"/>
        </w:rPr>
        <w:t>bis</w:t>
      </w:r>
    </w:p>
    <w:p w14:paraId="19F40354" w14:textId="59B3E0CF" w:rsidR="00431196" w:rsidRPr="00811A7D" w:rsidRDefault="00431196" w:rsidP="00431196">
      <w:pPr>
        <w:pStyle w:val="NoSpacing"/>
        <w:spacing w:line="276" w:lineRule="auto"/>
        <w:rPr>
          <w:rFonts w:ascii="Times New Roman" w:hAnsi="Times New Roman" w:cs="Times New Roman"/>
          <w:b/>
          <w:bCs/>
          <w:sz w:val="24"/>
          <w:szCs w:val="24"/>
          <w:lang w:val="en-US"/>
        </w:rPr>
      </w:pPr>
      <w:r w:rsidRPr="00811A7D">
        <w:rPr>
          <w:rFonts w:ascii="Times New Roman" w:hAnsi="Times New Roman" w:cs="Times New Roman"/>
          <w:b/>
          <w:bCs/>
          <w:sz w:val="24"/>
          <w:szCs w:val="24"/>
          <w:lang w:val="en-US"/>
        </w:rPr>
        <w:t>Non-Compliance Notice</w:t>
      </w:r>
      <w:r w:rsidR="009670CF">
        <w:rPr>
          <w:rFonts w:ascii="Times New Roman" w:hAnsi="Times New Roman" w:cs="Times New Roman"/>
          <w:b/>
          <w:bCs/>
          <w:sz w:val="24"/>
          <w:szCs w:val="24"/>
          <w:lang w:val="en-US"/>
        </w:rPr>
        <w:t>s</w:t>
      </w:r>
    </w:p>
    <w:p w14:paraId="413060C4" w14:textId="77777777" w:rsidR="00431196" w:rsidRDefault="00431196" w:rsidP="00431196">
      <w:pPr>
        <w:pStyle w:val="NoSpacing"/>
        <w:spacing w:line="276" w:lineRule="auto"/>
        <w:rPr>
          <w:rFonts w:ascii="Times New Roman" w:hAnsi="Times New Roman" w:cs="Times New Roman"/>
          <w:b/>
          <w:bCs/>
          <w:sz w:val="24"/>
          <w:szCs w:val="24"/>
          <w:lang w:val="en-US"/>
        </w:rPr>
      </w:pPr>
    </w:p>
    <w:p w14:paraId="7D428FC1" w14:textId="32010654" w:rsidR="00C6380A" w:rsidRDefault="00C6380A" w:rsidP="00431196">
      <w:pPr>
        <w:pStyle w:val="NoSpacing"/>
        <w:spacing w:line="276" w:lineRule="auto"/>
        <w:rPr>
          <w:rFonts w:ascii="Times New Roman" w:hAnsi="Times New Roman" w:cs="Times New Roman"/>
          <w:b/>
          <w:bCs/>
          <w:sz w:val="24"/>
          <w:szCs w:val="24"/>
          <w:lang w:val="en-US"/>
        </w:rPr>
      </w:pPr>
      <w:r w:rsidRPr="004146A3">
        <w:rPr>
          <w:rFonts w:ascii="Times New Roman" w:hAnsi="Times New Roman" w:cs="Times New Roman"/>
          <w:noProof/>
          <w:color w:val="215E99" w:themeColor="text2" w:themeTint="BF"/>
          <w:lang w:val="en-US"/>
        </w:rPr>
        <mc:AlternateContent>
          <mc:Choice Requires="wps">
            <w:drawing>
              <wp:inline distT="0" distB="0" distL="0" distR="0" wp14:anchorId="6C5C9E81" wp14:editId="568AD416">
                <wp:extent cx="5694045" cy="797357"/>
                <wp:effectExtent l="0" t="0" r="20955" b="22225"/>
                <wp:docPr id="63866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797357"/>
                        </a:xfrm>
                        <a:prstGeom prst="rect">
                          <a:avLst/>
                        </a:prstGeom>
                        <a:solidFill>
                          <a:schemeClr val="bg1">
                            <a:lumMod val="85000"/>
                          </a:schemeClr>
                        </a:solidFill>
                        <a:ln w="9525">
                          <a:solidFill>
                            <a:srgbClr val="000000"/>
                          </a:solidFill>
                          <a:miter lim="800000"/>
                          <a:headEnd/>
                          <a:tailEnd/>
                        </a:ln>
                      </wps:spPr>
                      <wps:txbx>
                        <w:txbxContent>
                          <w:p w14:paraId="7D91EA5D" w14:textId="77777777" w:rsidR="00C6380A" w:rsidRPr="00CA737D" w:rsidRDefault="00C6380A" w:rsidP="00C6380A">
                            <w:pPr>
                              <w:rPr>
                                <w:b/>
                                <w:bCs/>
                                <w:sz w:val="22"/>
                                <w:szCs w:val="22"/>
                              </w:rPr>
                            </w:pPr>
                            <w:r w:rsidRPr="00CA737D">
                              <w:rPr>
                                <w:b/>
                                <w:bCs/>
                                <w:sz w:val="22"/>
                                <w:szCs w:val="22"/>
                              </w:rPr>
                              <w:t>Organizers’ notes:</w:t>
                            </w:r>
                          </w:p>
                          <w:p w14:paraId="61D8F522" w14:textId="77777777" w:rsidR="00C6380A" w:rsidRPr="00CA737D" w:rsidRDefault="00C6380A" w:rsidP="00C6380A">
                            <w:pPr>
                              <w:rPr>
                                <w:b/>
                                <w:bCs/>
                                <w:sz w:val="22"/>
                                <w:szCs w:val="22"/>
                              </w:rPr>
                            </w:pPr>
                          </w:p>
                          <w:p w14:paraId="07D21958" w14:textId="7B1265DE" w:rsidR="00C6380A" w:rsidRPr="00C6380A" w:rsidRDefault="00C6380A" w:rsidP="00C6380A">
                            <w:pPr>
                              <w:rPr>
                                <w:sz w:val="22"/>
                                <w:szCs w:val="22"/>
                                <w:lang w:val="en-US"/>
                              </w:rPr>
                            </w:pPr>
                            <w:r w:rsidRPr="00C6380A">
                              <w:rPr>
                                <w:sz w:val="22"/>
                                <w:szCs w:val="22"/>
                                <w:lang w:val="en-US"/>
                              </w:rPr>
                              <w:t>At</w:t>
                            </w:r>
                            <w:r>
                              <w:rPr>
                                <w:sz w:val="22"/>
                                <w:szCs w:val="22"/>
                                <w:lang w:val="en-US"/>
                              </w:rPr>
                              <w:t xml:space="preserve"> the request of the FOP, the Regulation on Non-Compliance Notices has been moved up in the structure of this Section of the Exploitation Regulations.</w:t>
                            </w:r>
                          </w:p>
                        </w:txbxContent>
                      </wps:txbx>
                      <wps:bodyPr rot="0" vert="horz" wrap="square" lIns="91440" tIns="45720" rIns="91440" bIns="45720" anchor="t" anchorCtr="0">
                        <a:noAutofit/>
                      </wps:bodyPr>
                    </wps:wsp>
                  </a:graphicData>
                </a:graphic>
              </wp:inline>
            </w:drawing>
          </mc:Choice>
          <mc:Fallback>
            <w:pict>
              <v:shape w14:anchorId="6C5C9E81" id="_x0000_s1027" type="#_x0000_t202" style="width:448.3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" fillcolor="#d8d8d8 [2732]">
                <v:textbox>
                  <w:txbxContent>
                    <w:p w14:paraId="7D91EA5D" w14:textId="77777777" w:rsidR="00C6380A" w:rsidRPr="00CA737D" w:rsidRDefault="00C6380A" w:rsidP="00C6380A">
                      <w:pPr>
                        <w:rPr>
                          <w:b/>
                          <w:bCs/>
                          <w:sz w:val="22"/>
                          <w:szCs w:val="22"/>
                        </w:rPr>
                      </w:pPr>
                      <w:r w:rsidRPr="00CA737D">
                        <w:rPr>
                          <w:b/>
                          <w:bCs/>
                          <w:sz w:val="22"/>
                          <w:szCs w:val="22"/>
                        </w:rPr>
                        <w:t>Organizers’ notes:</w:t>
                      </w:r>
                    </w:p>
                    <w:p w14:paraId="61D8F522" w14:textId="77777777" w:rsidR="00C6380A" w:rsidRPr="00CA737D" w:rsidRDefault="00C6380A" w:rsidP="00C6380A">
                      <w:pPr>
                        <w:rPr>
                          <w:b/>
                          <w:bCs/>
                          <w:sz w:val="22"/>
                          <w:szCs w:val="22"/>
                        </w:rPr>
                      </w:pPr>
                    </w:p>
                    <w:p w14:paraId="07D21958" w14:textId="7B1265DE" w:rsidR="00C6380A" w:rsidRPr="00C6380A" w:rsidRDefault="00C6380A" w:rsidP="00C6380A">
                      <w:pPr>
                        <w:rPr>
                          <w:sz w:val="22"/>
                          <w:szCs w:val="22"/>
                          <w:lang w:val="en-US"/>
                        </w:rPr>
                      </w:pPr>
                      <w:r w:rsidRPr="00C6380A">
                        <w:rPr>
                          <w:sz w:val="22"/>
                          <w:szCs w:val="22"/>
                          <w:lang w:val="en-US"/>
                        </w:rPr>
                        <w:t>At</w:t>
                      </w:r>
                      <w:r>
                        <w:rPr>
                          <w:sz w:val="22"/>
                          <w:szCs w:val="22"/>
                          <w:lang w:val="en-US"/>
                        </w:rPr>
                        <w:t xml:space="preserve"> the request of the FOP, the Regulation on Non-Compliance Notices has been moved up in the structure of this Section of the Exploitation Regulations.</w:t>
                      </w:r>
                    </w:p>
                  </w:txbxContent>
                </v:textbox>
                <w10:anchorlock/>
              </v:shape>
            </w:pict>
          </mc:Fallback>
        </mc:AlternateContent>
      </w:r>
    </w:p>
    <w:p w14:paraId="183E5D09" w14:textId="77777777" w:rsidR="00C6380A" w:rsidRDefault="00C6380A" w:rsidP="00431196">
      <w:pPr>
        <w:pStyle w:val="NoSpacing"/>
        <w:spacing w:line="276" w:lineRule="auto"/>
        <w:rPr>
          <w:rFonts w:ascii="Times New Roman" w:hAnsi="Times New Roman" w:cs="Times New Roman"/>
          <w:b/>
          <w:bCs/>
          <w:sz w:val="24"/>
          <w:szCs w:val="24"/>
          <w:lang w:val="en-US"/>
        </w:rPr>
      </w:pPr>
    </w:p>
    <w:p w14:paraId="048E84BB" w14:textId="60D2717D" w:rsidR="00811A7D" w:rsidRDefault="00811A7D" w:rsidP="00811A7D">
      <w:pPr>
        <w:pStyle w:val="NoSpacing"/>
        <w:spacing w:line="276" w:lineRule="auto"/>
        <w:jc w:val="both"/>
        <w:rPr>
          <w:rFonts w:ascii="Times New Roman" w:hAnsi="Times New Roman" w:cs="Times New Roman"/>
          <w:lang w:val="en-US"/>
        </w:rPr>
      </w:pPr>
      <w:r w:rsidRPr="00811A7D">
        <w:rPr>
          <w:rFonts w:ascii="Times New Roman" w:hAnsi="Times New Roman" w:cs="Times New Roman"/>
          <w:lang w:val="en-US"/>
        </w:rPr>
        <w:t>1. A Non-</w:t>
      </w:r>
      <w:r>
        <w:rPr>
          <w:rFonts w:ascii="Times New Roman" w:hAnsi="Times New Roman" w:cs="Times New Roman"/>
          <w:lang w:val="en-US"/>
        </w:rPr>
        <w:t>C</w:t>
      </w:r>
      <w:r w:rsidRPr="00811A7D">
        <w:rPr>
          <w:rFonts w:ascii="Times New Roman" w:hAnsi="Times New Roman" w:cs="Times New Roman"/>
          <w:lang w:val="en-US"/>
        </w:rPr>
        <w:t>ompliance Notice shall:</w:t>
      </w:r>
    </w:p>
    <w:p w14:paraId="1F32E6B7" w14:textId="77777777" w:rsidR="00811A7D" w:rsidRPr="00811A7D" w:rsidRDefault="00811A7D" w:rsidP="00811A7D">
      <w:pPr>
        <w:pStyle w:val="NoSpacing"/>
        <w:spacing w:line="276" w:lineRule="auto"/>
        <w:jc w:val="both"/>
        <w:rPr>
          <w:color w:val="000000" w:themeColor="text1"/>
          <w:lang w:val="en-US"/>
        </w:rPr>
      </w:pPr>
    </w:p>
    <w:p w14:paraId="23D95786" w14:textId="0EE19BED" w:rsidR="00895630" w:rsidRDefault="00895630" w:rsidP="00811A7D">
      <w:pPr>
        <w:pStyle w:val="NoSpacing"/>
        <w:numPr>
          <w:ilvl w:val="0"/>
          <w:numId w:val="10"/>
        </w:numPr>
        <w:spacing w:line="276" w:lineRule="auto"/>
        <w:jc w:val="both"/>
        <w:rPr>
          <w:rFonts w:ascii="Times New Roman" w:hAnsi="Times New Roman" w:cs="Times New Roman"/>
          <w:lang w:val="en-US"/>
        </w:rPr>
      </w:pPr>
      <w:r>
        <w:rPr>
          <w:rFonts w:ascii="Times New Roman" w:hAnsi="Times New Roman" w:cs="Times New Roman"/>
          <w:lang w:val="en-US"/>
        </w:rPr>
        <w:t>d</w:t>
      </w:r>
      <w:r w:rsidR="00811A7D" w:rsidRPr="00811A7D">
        <w:rPr>
          <w:rFonts w:ascii="Times New Roman" w:hAnsi="Times New Roman" w:cs="Times New Roman"/>
          <w:lang w:val="en-US"/>
        </w:rPr>
        <w:t>escribe the breach and the factual basis for it</w:t>
      </w:r>
      <w:r w:rsidR="00D57F18">
        <w:rPr>
          <w:rFonts w:ascii="Times New Roman" w:hAnsi="Times New Roman" w:cs="Times New Roman"/>
          <w:lang w:val="en-US"/>
        </w:rPr>
        <w:t>;</w:t>
      </w:r>
    </w:p>
    <w:p w14:paraId="57DC79C7" w14:textId="5839F994" w:rsidR="00CD5BE6" w:rsidRDefault="00895630" w:rsidP="00811A7D">
      <w:pPr>
        <w:pStyle w:val="NoSpacing"/>
        <w:numPr>
          <w:ilvl w:val="0"/>
          <w:numId w:val="10"/>
        </w:numPr>
        <w:spacing w:line="276" w:lineRule="auto"/>
        <w:jc w:val="both"/>
        <w:rPr>
          <w:rFonts w:ascii="Times New Roman" w:hAnsi="Times New Roman" w:cs="Times New Roman"/>
          <w:lang w:val="en-US"/>
        </w:rPr>
      </w:pPr>
      <w:r>
        <w:rPr>
          <w:rFonts w:ascii="Times New Roman" w:hAnsi="Times New Roman" w:cs="Times New Roman"/>
          <w:lang w:val="en-US"/>
        </w:rPr>
        <w:t>describe the place and time that the breach was observed</w:t>
      </w:r>
      <w:r w:rsidR="00811A7D" w:rsidRPr="00811A7D">
        <w:rPr>
          <w:rFonts w:ascii="Times New Roman" w:hAnsi="Times New Roman" w:cs="Times New Roman"/>
          <w:lang w:val="en-US"/>
        </w:rPr>
        <w:t xml:space="preserve">; </w:t>
      </w:r>
    </w:p>
    <w:p w14:paraId="7289C144" w14:textId="67F2ACA2" w:rsidR="0053342C" w:rsidRPr="00895630" w:rsidRDefault="00895630" w:rsidP="00811A7D">
      <w:pPr>
        <w:pStyle w:val="NoSpacing"/>
        <w:numPr>
          <w:ilvl w:val="0"/>
          <w:numId w:val="10"/>
        </w:numPr>
        <w:spacing w:line="276" w:lineRule="auto"/>
        <w:jc w:val="both"/>
        <w:rPr>
          <w:rFonts w:ascii="Times New Roman" w:hAnsi="Times New Roman" w:cs="Times New Roman"/>
          <w:lang w:val="en-US"/>
        </w:rPr>
      </w:pPr>
      <w:r w:rsidRPr="00895630">
        <w:rPr>
          <w:rFonts w:ascii="Times New Roman" w:hAnsi="Times New Roman" w:cs="Times New Roman"/>
          <w:lang w:val="en-US"/>
        </w:rPr>
        <w:t>m</w:t>
      </w:r>
      <w:r w:rsidR="00CD5BE6" w:rsidRPr="00895630">
        <w:rPr>
          <w:rFonts w:ascii="Times New Roman" w:hAnsi="Times New Roman" w:cs="Times New Roman"/>
          <w:lang w:val="en-US"/>
        </w:rPr>
        <w:t>ention the violated obligation;</w:t>
      </w:r>
    </w:p>
    <w:p w14:paraId="42FDF820" w14:textId="19D8CB9E" w:rsidR="00895630" w:rsidRDefault="00895630" w:rsidP="0053342C">
      <w:pPr>
        <w:pStyle w:val="NoSpacing"/>
        <w:numPr>
          <w:ilvl w:val="0"/>
          <w:numId w:val="10"/>
        </w:numPr>
        <w:spacing w:line="276" w:lineRule="auto"/>
        <w:jc w:val="both"/>
        <w:rPr>
          <w:rFonts w:ascii="Times New Roman" w:hAnsi="Times New Roman" w:cs="Times New Roman"/>
          <w:lang w:val="en-US"/>
        </w:rPr>
      </w:pPr>
      <w:r w:rsidRPr="00895630">
        <w:rPr>
          <w:rFonts w:ascii="Times New Roman" w:hAnsi="Times New Roman" w:cs="Times New Roman"/>
          <w:lang w:val="en-US"/>
        </w:rPr>
        <w:t>describe measures</w:t>
      </w:r>
      <w:r>
        <w:rPr>
          <w:rFonts w:ascii="Times New Roman" w:hAnsi="Times New Roman" w:cs="Times New Roman"/>
          <w:lang w:val="en-US"/>
        </w:rPr>
        <w:t xml:space="preserve"> imposed by the Compliance Committee;</w:t>
      </w:r>
      <w:r w:rsidRPr="00895630">
        <w:rPr>
          <w:rFonts w:ascii="Times New Roman" w:hAnsi="Times New Roman" w:cs="Times New Roman"/>
          <w:lang w:val="en-US"/>
        </w:rPr>
        <w:t xml:space="preserve"> </w:t>
      </w:r>
    </w:p>
    <w:p w14:paraId="6A86AD55" w14:textId="4B7C7FA6" w:rsidR="00811A7D" w:rsidRPr="00895630" w:rsidRDefault="00895630" w:rsidP="0053342C">
      <w:pPr>
        <w:pStyle w:val="NoSpacing"/>
        <w:numPr>
          <w:ilvl w:val="0"/>
          <w:numId w:val="10"/>
        </w:numPr>
        <w:spacing w:line="276" w:lineRule="auto"/>
        <w:jc w:val="both"/>
        <w:rPr>
          <w:rFonts w:ascii="Times New Roman" w:hAnsi="Times New Roman" w:cs="Times New Roman"/>
          <w:lang w:val="en-US"/>
        </w:rPr>
      </w:pPr>
      <w:r w:rsidRPr="00895630">
        <w:rPr>
          <w:rFonts w:ascii="Times New Roman" w:hAnsi="Times New Roman" w:cs="Times New Roman"/>
          <w:lang w:val="en-US"/>
        </w:rPr>
        <w:t xml:space="preserve">contain the reasons for </w:t>
      </w:r>
      <w:r w:rsidR="0053342C" w:rsidRPr="00895630">
        <w:rPr>
          <w:rFonts w:ascii="Times New Roman" w:hAnsi="Times New Roman" w:cs="Times New Roman"/>
          <w:lang w:val="en-US"/>
        </w:rPr>
        <w:t>why the imposed measure is necessary</w:t>
      </w:r>
      <w:r w:rsidRPr="00895630">
        <w:rPr>
          <w:rFonts w:ascii="Times New Roman" w:hAnsi="Times New Roman" w:cs="Times New Roman"/>
          <w:lang w:val="en-US"/>
        </w:rPr>
        <w:t xml:space="preserve"> and </w:t>
      </w:r>
      <w:r w:rsidR="0053342C" w:rsidRPr="00895630">
        <w:rPr>
          <w:rFonts w:ascii="Times New Roman" w:hAnsi="Times New Roman" w:cs="Times New Roman"/>
          <w:lang w:val="en-US"/>
        </w:rPr>
        <w:t>appropriate</w:t>
      </w:r>
      <w:r>
        <w:rPr>
          <w:rFonts w:ascii="Times New Roman" w:hAnsi="Times New Roman" w:cs="Times New Roman"/>
          <w:lang w:val="en-US"/>
        </w:rPr>
        <w:t>;</w:t>
      </w:r>
      <w:r w:rsidR="00CD5BE6" w:rsidRPr="00895630">
        <w:rPr>
          <w:rFonts w:ascii="Times New Roman" w:hAnsi="Times New Roman" w:cs="Times New Roman"/>
          <w:lang w:val="en-US"/>
        </w:rPr>
        <w:t xml:space="preserve"> </w:t>
      </w:r>
      <w:r w:rsidR="00811A7D" w:rsidRPr="00895630">
        <w:rPr>
          <w:rFonts w:ascii="Times New Roman" w:hAnsi="Times New Roman" w:cs="Times New Roman"/>
          <w:lang w:val="en-US"/>
        </w:rPr>
        <w:t>and</w:t>
      </w:r>
    </w:p>
    <w:p w14:paraId="578AB1EB" w14:textId="1DA259AC" w:rsidR="00811A7D" w:rsidRPr="00895630" w:rsidRDefault="00895630" w:rsidP="00811A7D">
      <w:pPr>
        <w:pStyle w:val="NoSpacing"/>
        <w:numPr>
          <w:ilvl w:val="0"/>
          <w:numId w:val="10"/>
        </w:numPr>
        <w:spacing w:line="276" w:lineRule="auto"/>
        <w:jc w:val="both"/>
        <w:rPr>
          <w:rFonts w:ascii="Times New Roman" w:hAnsi="Times New Roman" w:cs="Times New Roman"/>
          <w:lang w:val="en-US"/>
        </w:rPr>
      </w:pPr>
      <w:r>
        <w:rPr>
          <w:rFonts w:ascii="Times New Roman" w:hAnsi="Times New Roman" w:cs="Times New Roman"/>
          <w:lang w:val="en-US"/>
        </w:rPr>
        <w:t>in the event a timeframe is imposed within which the Contractor must implement an order,</w:t>
      </w:r>
      <w:r w:rsidRPr="00895630">
        <w:rPr>
          <w:rFonts w:ascii="Times New Roman" w:hAnsi="Times New Roman" w:cs="Times New Roman"/>
          <w:lang w:val="en-US"/>
        </w:rPr>
        <w:t xml:space="preserve"> specify </w:t>
      </w:r>
      <w:r>
        <w:rPr>
          <w:rFonts w:ascii="Times New Roman" w:hAnsi="Times New Roman" w:cs="Times New Roman"/>
          <w:lang w:val="en-US"/>
        </w:rPr>
        <w:t xml:space="preserve">such </w:t>
      </w:r>
      <w:r w:rsidRPr="00895630">
        <w:rPr>
          <w:rFonts w:ascii="Times New Roman" w:hAnsi="Times New Roman" w:cs="Times New Roman"/>
          <w:lang w:val="en-US"/>
        </w:rPr>
        <w:t>timeframe</w:t>
      </w:r>
      <w:r w:rsidR="00811A7D" w:rsidRPr="00895630">
        <w:rPr>
          <w:rFonts w:ascii="Times New Roman" w:hAnsi="Times New Roman" w:cs="Times New Roman"/>
          <w:lang w:val="en-US"/>
        </w:rPr>
        <w:t xml:space="preserve">. </w:t>
      </w:r>
    </w:p>
    <w:p w14:paraId="64537B4E" w14:textId="77777777" w:rsidR="00811A7D" w:rsidRPr="00811A7D" w:rsidRDefault="00811A7D" w:rsidP="00811A7D">
      <w:pPr>
        <w:pStyle w:val="NoSpacing"/>
        <w:spacing w:line="276" w:lineRule="auto"/>
        <w:ind w:left="720"/>
        <w:jc w:val="both"/>
        <w:rPr>
          <w:rFonts w:ascii="Times New Roman" w:hAnsi="Times New Roman" w:cs="Times New Roman"/>
          <w:lang w:val="en-US"/>
        </w:rPr>
      </w:pPr>
    </w:p>
    <w:p w14:paraId="215B5875" w14:textId="0BA578B1" w:rsidR="00811A7D" w:rsidRPr="00811A7D" w:rsidRDefault="00CB2672" w:rsidP="00811A7D">
      <w:pPr>
        <w:pStyle w:val="NoSpacing"/>
        <w:spacing w:line="276" w:lineRule="auto"/>
        <w:jc w:val="both"/>
        <w:rPr>
          <w:rFonts w:ascii="Times New Roman" w:hAnsi="Times New Roman" w:cs="Times New Roman"/>
          <w:lang w:val="en-US"/>
        </w:rPr>
      </w:pPr>
      <w:r>
        <w:rPr>
          <w:rFonts w:ascii="Times New Roman" w:hAnsi="Times New Roman" w:cs="Times New Roman"/>
          <w:lang w:val="en-US"/>
        </w:rPr>
        <w:t>2</w:t>
      </w:r>
      <w:r w:rsidR="00811A7D" w:rsidRPr="00811A7D">
        <w:rPr>
          <w:rFonts w:ascii="Times New Roman" w:hAnsi="Times New Roman" w:cs="Times New Roman"/>
          <w:lang w:val="en-US"/>
        </w:rPr>
        <w:t>.</w:t>
      </w:r>
      <w:r>
        <w:rPr>
          <w:rFonts w:ascii="Times New Roman" w:hAnsi="Times New Roman" w:cs="Times New Roman"/>
          <w:lang w:val="en-US"/>
        </w:rPr>
        <w:t xml:space="preserve"> </w:t>
      </w:r>
      <w:r w:rsidR="00811A7D" w:rsidRPr="00811A7D">
        <w:rPr>
          <w:rFonts w:ascii="Times New Roman" w:hAnsi="Times New Roman" w:cs="Times New Roman"/>
          <w:lang w:val="en-US"/>
        </w:rPr>
        <w:t xml:space="preserve">For the purposes of Article 18 of Annex III to the Convention, a </w:t>
      </w:r>
      <w:r w:rsidR="00895630">
        <w:rPr>
          <w:rFonts w:ascii="Times New Roman" w:hAnsi="Times New Roman" w:cs="Times New Roman"/>
          <w:lang w:val="en-US"/>
        </w:rPr>
        <w:t>Non-C</w:t>
      </w:r>
      <w:r w:rsidR="00811A7D" w:rsidRPr="00811A7D">
        <w:rPr>
          <w:rFonts w:ascii="Times New Roman" w:hAnsi="Times New Roman" w:cs="Times New Roman"/>
          <w:lang w:val="en-US"/>
        </w:rPr>
        <w:t xml:space="preserve">ompliance </w:t>
      </w:r>
      <w:r w:rsidR="00895630">
        <w:rPr>
          <w:rFonts w:ascii="Times New Roman" w:hAnsi="Times New Roman" w:cs="Times New Roman"/>
          <w:lang w:val="en-US"/>
        </w:rPr>
        <w:t>N</w:t>
      </w:r>
      <w:r w:rsidR="00811A7D" w:rsidRPr="00811A7D">
        <w:rPr>
          <w:rFonts w:ascii="Times New Roman" w:hAnsi="Times New Roman" w:cs="Times New Roman"/>
          <w:lang w:val="en-US"/>
        </w:rPr>
        <w:t>otice issued under this Regulation constitutes a warning by the Authority.</w:t>
      </w:r>
    </w:p>
    <w:p w14:paraId="1786F08E" w14:textId="12854B39" w:rsidR="00CB2672" w:rsidRDefault="00CB2672" w:rsidP="00811A7D">
      <w:pPr>
        <w:pStyle w:val="NoSpacing"/>
        <w:spacing w:line="276" w:lineRule="auto"/>
        <w:jc w:val="both"/>
        <w:rPr>
          <w:rFonts w:ascii="Times New Roman" w:hAnsi="Times New Roman" w:cs="Times New Roman"/>
          <w:lang w:val="en-US"/>
        </w:rPr>
      </w:pPr>
    </w:p>
    <w:p w14:paraId="2F8B4B55" w14:textId="24A7F476" w:rsidR="00811A7D" w:rsidRDefault="00CB2672" w:rsidP="00811A7D">
      <w:pPr>
        <w:pStyle w:val="NoSpacing"/>
        <w:spacing w:line="276" w:lineRule="auto"/>
        <w:jc w:val="both"/>
        <w:rPr>
          <w:rFonts w:ascii="Times New Roman" w:hAnsi="Times New Roman" w:cs="Times New Roman"/>
          <w:lang w:val="en-US"/>
        </w:rPr>
      </w:pPr>
      <w:r>
        <w:rPr>
          <w:rFonts w:ascii="Times New Roman" w:hAnsi="Times New Roman" w:cs="Times New Roman"/>
          <w:lang w:val="en-US"/>
        </w:rPr>
        <w:t>3</w:t>
      </w:r>
      <w:r w:rsidR="00811A7D" w:rsidRPr="00811A7D">
        <w:rPr>
          <w:rFonts w:ascii="Times New Roman" w:hAnsi="Times New Roman" w:cs="Times New Roman"/>
          <w:lang w:val="en-US"/>
        </w:rPr>
        <w:t>.</w:t>
      </w:r>
      <w:r>
        <w:rPr>
          <w:rFonts w:ascii="Times New Roman" w:hAnsi="Times New Roman" w:cs="Times New Roman"/>
          <w:lang w:val="en-US"/>
        </w:rPr>
        <w:t xml:space="preserve"> </w:t>
      </w:r>
      <w:r w:rsidR="00811A7D" w:rsidRPr="00811A7D">
        <w:rPr>
          <w:rFonts w:ascii="Times New Roman" w:hAnsi="Times New Roman" w:cs="Times New Roman"/>
          <w:lang w:val="en-US"/>
        </w:rPr>
        <w:t xml:space="preserve">The Compliance Committee shall, through the Secretary-General provide a copy of the </w:t>
      </w:r>
      <w:r w:rsidR="00895630">
        <w:rPr>
          <w:rFonts w:ascii="Times New Roman" w:hAnsi="Times New Roman" w:cs="Times New Roman"/>
          <w:lang w:val="en-US"/>
        </w:rPr>
        <w:t>Non-C</w:t>
      </w:r>
      <w:r w:rsidR="00811A7D" w:rsidRPr="00811A7D">
        <w:rPr>
          <w:rFonts w:ascii="Times New Roman" w:hAnsi="Times New Roman" w:cs="Times New Roman"/>
          <w:lang w:val="en-US"/>
        </w:rPr>
        <w:t xml:space="preserve">ompliance </w:t>
      </w:r>
      <w:r w:rsidR="00895630">
        <w:rPr>
          <w:rFonts w:ascii="Times New Roman" w:hAnsi="Times New Roman" w:cs="Times New Roman"/>
          <w:lang w:val="en-US"/>
        </w:rPr>
        <w:t>N</w:t>
      </w:r>
      <w:r w:rsidR="00811A7D" w:rsidRPr="00811A7D">
        <w:rPr>
          <w:rFonts w:ascii="Times New Roman" w:hAnsi="Times New Roman" w:cs="Times New Roman"/>
          <w:lang w:val="en-US"/>
        </w:rPr>
        <w:t>otice to the Sponsoring State or States</w:t>
      </w:r>
      <w:r w:rsidR="00895630">
        <w:rPr>
          <w:rFonts w:ascii="Times New Roman" w:hAnsi="Times New Roman" w:cs="Times New Roman"/>
          <w:lang w:val="en-US"/>
        </w:rPr>
        <w:t xml:space="preserve"> within 24 hours</w:t>
      </w:r>
      <w:r w:rsidR="00811A7D" w:rsidRPr="00811A7D">
        <w:rPr>
          <w:rFonts w:ascii="Times New Roman" w:hAnsi="Times New Roman" w:cs="Times New Roman"/>
          <w:lang w:val="en-US"/>
        </w:rPr>
        <w:t xml:space="preserve">.   </w:t>
      </w:r>
    </w:p>
    <w:p w14:paraId="16E0CF19" w14:textId="77777777" w:rsidR="00CB2672" w:rsidRPr="00811A7D" w:rsidRDefault="00CB2672" w:rsidP="00811A7D">
      <w:pPr>
        <w:pStyle w:val="NoSpacing"/>
        <w:spacing w:line="276" w:lineRule="auto"/>
        <w:jc w:val="both"/>
        <w:rPr>
          <w:rFonts w:ascii="Times New Roman" w:hAnsi="Times New Roman" w:cs="Times New Roman"/>
          <w:lang w:val="en-US"/>
        </w:rPr>
      </w:pPr>
    </w:p>
    <w:p w14:paraId="19DF86DE" w14:textId="6A25B8B0" w:rsidR="00811A7D" w:rsidRDefault="00811A7D" w:rsidP="00811A7D">
      <w:pPr>
        <w:pStyle w:val="NoSpacing"/>
        <w:spacing w:line="276" w:lineRule="auto"/>
        <w:jc w:val="both"/>
        <w:rPr>
          <w:rFonts w:ascii="Times New Roman" w:hAnsi="Times New Roman" w:cs="Times New Roman"/>
          <w:lang w:val="en-US"/>
        </w:rPr>
      </w:pPr>
      <w:r w:rsidRPr="00811A7D">
        <w:rPr>
          <w:rFonts w:ascii="Times New Roman" w:hAnsi="Times New Roman" w:cs="Times New Roman"/>
          <w:lang w:val="en-US"/>
        </w:rPr>
        <w:t>4.</w:t>
      </w:r>
      <w:r w:rsidR="00CB2672">
        <w:rPr>
          <w:rFonts w:ascii="Times New Roman" w:hAnsi="Times New Roman" w:cs="Times New Roman"/>
          <w:lang w:val="en-US"/>
        </w:rPr>
        <w:t xml:space="preserve"> </w:t>
      </w:r>
      <w:r w:rsidRPr="00811A7D">
        <w:rPr>
          <w:rFonts w:ascii="Times New Roman" w:hAnsi="Times New Roman" w:cs="Times New Roman"/>
          <w:lang w:val="en-US"/>
        </w:rPr>
        <w:t xml:space="preserve">The Contractor shall be given a reasonable opportunity not exceeding 30 Days to make representations in writing to the Secretary General concerning any aspect of the </w:t>
      </w:r>
      <w:r w:rsidR="00895630">
        <w:rPr>
          <w:rFonts w:ascii="Times New Roman" w:hAnsi="Times New Roman" w:cs="Times New Roman"/>
          <w:lang w:val="en-US"/>
        </w:rPr>
        <w:t>Non-C</w:t>
      </w:r>
      <w:r w:rsidRPr="00811A7D">
        <w:rPr>
          <w:rFonts w:ascii="Times New Roman" w:hAnsi="Times New Roman" w:cs="Times New Roman"/>
          <w:lang w:val="en-US"/>
        </w:rPr>
        <w:t xml:space="preserve">ompliance </w:t>
      </w:r>
      <w:r w:rsidR="00895630">
        <w:rPr>
          <w:rFonts w:ascii="Times New Roman" w:hAnsi="Times New Roman" w:cs="Times New Roman"/>
          <w:lang w:val="en-US"/>
        </w:rPr>
        <w:t>N</w:t>
      </w:r>
      <w:r w:rsidRPr="00811A7D">
        <w:rPr>
          <w:rFonts w:ascii="Times New Roman" w:hAnsi="Times New Roman" w:cs="Times New Roman"/>
          <w:lang w:val="en-US"/>
        </w:rPr>
        <w:t xml:space="preserve">otice, who shall transmit </w:t>
      </w:r>
      <w:r w:rsidR="001B5344">
        <w:rPr>
          <w:rFonts w:ascii="Times New Roman" w:hAnsi="Times New Roman" w:cs="Times New Roman"/>
          <w:lang w:val="en-US"/>
        </w:rPr>
        <w:t>the received information</w:t>
      </w:r>
      <w:r w:rsidR="001B5344" w:rsidRPr="00811A7D">
        <w:rPr>
          <w:rFonts w:ascii="Times New Roman" w:hAnsi="Times New Roman" w:cs="Times New Roman"/>
          <w:lang w:val="en-US"/>
        </w:rPr>
        <w:t xml:space="preserve"> </w:t>
      </w:r>
      <w:r w:rsidRPr="00811A7D">
        <w:rPr>
          <w:rFonts w:ascii="Times New Roman" w:hAnsi="Times New Roman" w:cs="Times New Roman"/>
          <w:lang w:val="en-US"/>
        </w:rPr>
        <w:t>to the Compliance Committee</w:t>
      </w:r>
      <w:r w:rsidR="001B5344">
        <w:rPr>
          <w:rFonts w:ascii="Times New Roman" w:hAnsi="Times New Roman" w:cs="Times New Roman"/>
          <w:lang w:val="en-US"/>
        </w:rPr>
        <w:t xml:space="preserve"> without undue delay</w:t>
      </w:r>
      <w:r w:rsidRPr="00811A7D">
        <w:rPr>
          <w:rFonts w:ascii="Times New Roman" w:hAnsi="Times New Roman" w:cs="Times New Roman"/>
          <w:lang w:val="en-US"/>
        </w:rPr>
        <w:t xml:space="preserve">. Having considered any such representations and taking account of any enforcement action taken or to be taken by the Sponsoring State or States, the Compliance Committee may make recommendations to the Council to confirm, modify or withdraw the </w:t>
      </w:r>
      <w:r w:rsidR="000C1D40">
        <w:rPr>
          <w:rFonts w:ascii="Times New Roman" w:hAnsi="Times New Roman" w:cs="Times New Roman"/>
          <w:lang w:val="en-US"/>
        </w:rPr>
        <w:t>Non-C</w:t>
      </w:r>
      <w:r w:rsidRPr="00811A7D">
        <w:rPr>
          <w:rFonts w:ascii="Times New Roman" w:hAnsi="Times New Roman" w:cs="Times New Roman"/>
          <w:lang w:val="en-US"/>
        </w:rPr>
        <w:t xml:space="preserve">ompliance </w:t>
      </w:r>
      <w:r w:rsidR="000C1D40">
        <w:rPr>
          <w:rFonts w:ascii="Times New Roman" w:hAnsi="Times New Roman" w:cs="Times New Roman"/>
          <w:lang w:val="en-US"/>
        </w:rPr>
        <w:t>N</w:t>
      </w:r>
      <w:r w:rsidRPr="00811A7D">
        <w:rPr>
          <w:rFonts w:ascii="Times New Roman" w:hAnsi="Times New Roman" w:cs="Times New Roman"/>
          <w:lang w:val="en-US"/>
        </w:rPr>
        <w:t>otice.</w:t>
      </w:r>
    </w:p>
    <w:p w14:paraId="269CCA55" w14:textId="2AD5E205" w:rsidR="000C1D40" w:rsidRDefault="000C1D40" w:rsidP="00811A7D">
      <w:pPr>
        <w:pStyle w:val="NoSpacing"/>
        <w:spacing w:line="276" w:lineRule="auto"/>
        <w:jc w:val="both"/>
        <w:rPr>
          <w:rFonts w:ascii="Times New Roman" w:hAnsi="Times New Roman" w:cs="Times New Roman"/>
          <w:lang w:val="en-US"/>
        </w:rPr>
      </w:pPr>
    </w:p>
    <w:p w14:paraId="35B5B506" w14:textId="77777777" w:rsidR="00C6380A" w:rsidRDefault="00C6380A" w:rsidP="00811A7D">
      <w:pPr>
        <w:pStyle w:val="NoSpacing"/>
        <w:spacing w:line="276" w:lineRule="auto"/>
        <w:jc w:val="both"/>
        <w:rPr>
          <w:rFonts w:ascii="Times New Roman" w:hAnsi="Times New Roman" w:cs="Times New Roman"/>
          <w:lang w:val="en-US"/>
        </w:rPr>
      </w:pPr>
    </w:p>
    <w:p w14:paraId="58315EF8" w14:textId="77777777" w:rsidR="00C6380A" w:rsidRDefault="00C6380A" w:rsidP="00811A7D">
      <w:pPr>
        <w:pStyle w:val="NoSpacing"/>
        <w:spacing w:line="276" w:lineRule="auto"/>
        <w:jc w:val="both"/>
        <w:rPr>
          <w:rFonts w:ascii="Times New Roman" w:hAnsi="Times New Roman" w:cs="Times New Roman"/>
          <w:lang w:val="en-US"/>
        </w:rPr>
      </w:pPr>
    </w:p>
    <w:p w14:paraId="3C864108" w14:textId="77777777" w:rsidR="00C6380A" w:rsidRDefault="00C6380A" w:rsidP="00811A7D">
      <w:pPr>
        <w:pStyle w:val="NoSpacing"/>
        <w:spacing w:line="276" w:lineRule="auto"/>
        <w:jc w:val="both"/>
        <w:rPr>
          <w:rFonts w:ascii="Times New Roman" w:hAnsi="Times New Roman" w:cs="Times New Roman"/>
          <w:lang w:val="en-US"/>
        </w:rPr>
      </w:pPr>
    </w:p>
    <w:p w14:paraId="787067E5" w14:textId="77777777" w:rsidR="00C6380A" w:rsidRDefault="00C6380A" w:rsidP="00811A7D">
      <w:pPr>
        <w:pStyle w:val="NoSpacing"/>
        <w:spacing w:line="276" w:lineRule="auto"/>
        <w:jc w:val="both"/>
        <w:rPr>
          <w:rFonts w:ascii="Times New Roman" w:hAnsi="Times New Roman" w:cs="Times New Roman"/>
          <w:lang w:val="en-US"/>
        </w:rPr>
      </w:pPr>
    </w:p>
    <w:p w14:paraId="1E8F9139" w14:textId="77777777" w:rsidR="00397F97" w:rsidRDefault="00397F97" w:rsidP="00811A7D">
      <w:pPr>
        <w:pStyle w:val="NoSpacing"/>
        <w:spacing w:line="276" w:lineRule="auto"/>
        <w:jc w:val="both"/>
        <w:rPr>
          <w:rFonts w:ascii="Times New Roman" w:hAnsi="Times New Roman" w:cs="Times New Roman"/>
          <w:lang w:val="en-US"/>
        </w:rPr>
      </w:pPr>
    </w:p>
    <w:p w14:paraId="66DD7D97" w14:textId="77777777" w:rsidR="00C6380A" w:rsidRDefault="00C6380A" w:rsidP="00811A7D">
      <w:pPr>
        <w:pStyle w:val="NoSpacing"/>
        <w:spacing w:line="276" w:lineRule="auto"/>
        <w:jc w:val="both"/>
        <w:rPr>
          <w:rFonts w:ascii="Times New Roman" w:hAnsi="Times New Roman" w:cs="Times New Roman"/>
          <w:lang w:val="en-US"/>
        </w:rPr>
      </w:pPr>
    </w:p>
    <w:p w14:paraId="4BFA1FED" w14:textId="77777777" w:rsidR="00C6380A" w:rsidRDefault="00C6380A" w:rsidP="00811A7D">
      <w:pPr>
        <w:pStyle w:val="NoSpacing"/>
        <w:spacing w:line="276" w:lineRule="auto"/>
        <w:jc w:val="both"/>
        <w:rPr>
          <w:rFonts w:ascii="Times New Roman" w:hAnsi="Times New Roman" w:cs="Times New Roman"/>
          <w:lang w:val="en-US"/>
        </w:rPr>
      </w:pPr>
    </w:p>
    <w:p w14:paraId="7DAC29CF" w14:textId="45426DC7" w:rsidR="00CB2672" w:rsidRDefault="00CB2672" w:rsidP="00CB2672">
      <w:pPr>
        <w:pStyle w:val="NoSpacing"/>
        <w:spacing w:line="276" w:lineRule="auto"/>
        <w:rPr>
          <w:rFonts w:ascii="Times New Roman" w:hAnsi="Times New Roman" w:cs="Times New Roman"/>
          <w:b/>
          <w:bCs/>
          <w:sz w:val="24"/>
          <w:szCs w:val="24"/>
          <w:lang w:val="en-US"/>
        </w:rPr>
      </w:pPr>
      <w:r w:rsidRPr="00CB2672">
        <w:rPr>
          <w:rFonts w:ascii="Times New Roman" w:hAnsi="Times New Roman" w:cs="Times New Roman"/>
          <w:b/>
          <w:bCs/>
          <w:sz w:val="24"/>
          <w:szCs w:val="24"/>
          <w:lang w:val="en-US"/>
        </w:rPr>
        <w:lastRenderedPageBreak/>
        <w:t>Regulation 10</w:t>
      </w:r>
      <w:r>
        <w:rPr>
          <w:rFonts w:ascii="Times New Roman" w:hAnsi="Times New Roman" w:cs="Times New Roman"/>
          <w:b/>
          <w:bCs/>
          <w:sz w:val="24"/>
          <w:szCs w:val="24"/>
          <w:lang w:val="en-US"/>
        </w:rPr>
        <w:t>3</w:t>
      </w:r>
      <w:r w:rsidR="006E6BC8">
        <w:rPr>
          <w:rFonts w:ascii="Times New Roman" w:hAnsi="Times New Roman" w:cs="Times New Roman"/>
          <w:b/>
          <w:bCs/>
          <w:sz w:val="24"/>
          <w:szCs w:val="24"/>
          <w:lang w:val="en-US"/>
        </w:rPr>
        <w:t>ter</w:t>
      </w:r>
    </w:p>
    <w:p w14:paraId="28C0A354" w14:textId="64FC93A9" w:rsidR="009670CF" w:rsidRPr="00CB2672" w:rsidRDefault="009670CF" w:rsidP="00CB2672">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Proportionate measures commensurate to a breach of an Exploitation Contract</w:t>
      </w:r>
    </w:p>
    <w:p w14:paraId="76644EE6" w14:textId="77777777" w:rsidR="008D6789" w:rsidRDefault="008D6789" w:rsidP="00CB2672">
      <w:pPr>
        <w:pStyle w:val="NoSpacing"/>
        <w:spacing w:line="276" w:lineRule="auto"/>
        <w:rPr>
          <w:rFonts w:ascii="Times New Roman" w:hAnsi="Times New Roman" w:cs="Times New Roman"/>
          <w:b/>
          <w:bCs/>
          <w:sz w:val="24"/>
          <w:szCs w:val="24"/>
          <w:lang w:val="en-US"/>
        </w:rPr>
      </w:pPr>
    </w:p>
    <w:p w14:paraId="28E3924A" w14:textId="33DA8B27" w:rsidR="00C6380A" w:rsidRDefault="00C6380A" w:rsidP="00CB2672">
      <w:pPr>
        <w:pStyle w:val="NoSpacing"/>
        <w:spacing w:line="276" w:lineRule="auto"/>
        <w:rPr>
          <w:rFonts w:ascii="Times New Roman" w:hAnsi="Times New Roman" w:cs="Times New Roman"/>
          <w:b/>
          <w:bCs/>
          <w:sz w:val="24"/>
          <w:szCs w:val="24"/>
          <w:lang w:val="en-US"/>
        </w:rPr>
      </w:pPr>
      <w:r w:rsidRPr="004146A3">
        <w:rPr>
          <w:rFonts w:ascii="Times New Roman" w:hAnsi="Times New Roman" w:cs="Times New Roman"/>
          <w:noProof/>
          <w:color w:val="215E99" w:themeColor="text2" w:themeTint="BF"/>
          <w:lang w:val="en-US"/>
        </w:rPr>
        <mc:AlternateContent>
          <mc:Choice Requires="wps">
            <w:drawing>
              <wp:inline distT="0" distB="0" distL="0" distR="0" wp14:anchorId="621919ED" wp14:editId="011A31D0">
                <wp:extent cx="5694045" cy="2765145"/>
                <wp:effectExtent l="0" t="0" r="20955" b="16510"/>
                <wp:docPr id="2013130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2765145"/>
                        </a:xfrm>
                        <a:prstGeom prst="rect">
                          <a:avLst/>
                        </a:prstGeom>
                        <a:solidFill>
                          <a:schemeClr val="bg1">
                            <a:lumMod val="85000"/>
                          </a:schemeClr>
                        </a:solidFill>
                        <a:ln w="9525">
                          <a:solidFill>
                            <a:srgbClr val="000000"/>
                          </a:solidFill>
                          <a:miter lim="800000"/>
                          <a:headEnd/>
                          <a:tailEnd/>
                        </a:ln>
                      </wps:spPr>
                      <wps:txbx>
                        <w:txbxContent>
                          <w:p w14:paraId="3D6FFA33" w14:textId="77777777" w:rsidR="00C6380A" w:rsidRPr="00CA737D" w:rsidRDefault="00C6380A" w:rsidP="00C6380A">
                            <w:pPr>
                              <w:rPr>
                                <w:b/>
                                <w:bCs/>
                                <w:sz w:val="22"/>
                                <w:szCs w:val="22"/>
                              </w:rPr>
                            </w:pPr>
                            <w:r w:rsidRPr="00CA737D">
                              <w:rPr>
                                <w:b/>
                                <w:bCs/>
                                <w:sz w:val="22"/>
                                <w:szCs w:val="22"/>
                              </w:rPr>
                              <w:t>Organizers’ notes:</w:t>
                            </w:r>
                          </w:p>
                          <w:p w14:paraId="0BDE3DCA" w14:textId="77777777" w:rsidR="00C6380A" w:rsidRPr="00CA737D" w:rsidRDefault="00C6380A" w:rsidP="00C6380A">
                            <w:pPr>
                              <w:rPr>
                                <w:b/>
                                <w:bCs/>
                                <w:sz w:val="22"/>
                                <w:szCs w:val="22"/>
                              </w:rPr>
                            </w:pPr>
                          </w:p>
                          <w:p w14:paraId="5EA3CB48" w14:textId="783D4469" w:rsidR="00C6380A" w:rsidRPr="00CA737D" w:rsidRDefault="00C6380A" w:rsidP="00C6380A">
                            <w:pPr>
                              <w:rPr>
                                <w:sz w:val="22"/>
                                <w:szCs w:val="22"/>
                              </w:rPr>
                            </w:pPr>
                            <w:r>
                              <w:rPr>
                                <w:sz w:val="22"/>
                                <w:szCs w:val="22"/>
                              </w:rPr>
                              <w:t>The</w:t>
                            </w:r>
                            <w:r w:rsidRPr="00CA737D">
                              <w:rPr>
                                <w:sz w:val="22"/>
                                <w:szCs w:val="22"/>
                              </w:rPr>
                              <w:t xml:space="preserve"> new DR 103</w:t>
                            </w:r>
                            <w:r>
                              <w:rPr>
                                <w:sz w:val="22"/>
                                <w:szCs w:val="22"/>
                              </w:rPr>
                              <w:t>ter</w:t>
                            </w:r>
                            <w:r>
                              <w:rPr>
                                <w:sz w:val="22"/>
                                <w:szCs w:val="22"/>
                              </w:rPr>
                              <w:t xml:space="preserve"> has been amended as follows</w:t>
                            </w:r>
                            <w:r w:rsidRPr="00CA737D">
                              <w:rPr>
                                <w:sz w:val="22"/>
                                <w:szCs w:val="22"/>
                              </w:rPr>
                              <w:t>:</w:t>
                            </w:r>
                          </w:p>
                          <w:p w14:paraId="16ACE47F" w14:textId="77777777" w:rsidR="00C6380A" w:rsidRDefault="00C6380A" w:rsidP="00C6380A">
                            <w:pPr>
                              <w:rPr>
                                <w:sz w:val="22"/>
                                <w:szCs w:val="22"/>
                              </w:rPr>
                            </w:pPr>
                          </w:p>
                          <w:p w14:paraId="67F517E4" w14:textId="2DEA856D" w:rsidR="00C6380A" w:rsidRDefault="00C6380A" w:rsidP="00C6380A">
                            <w:pPr>
                              <w:pStyle w:val="ListParagraph"/>
                              <w:numPr>
                                <w:ilvl w:val="0"/>
                                <w:numId w:val="30"/>
                              </w:numPr>
                              <w:rPr>
                                <w:sz w:val="22"/>
                                <w:szCs w:val="22"/>
                                <w:lang w:val="en-US"/>
                              </w:rPr>
                            </w:pPr>
                            <w:r w:rsidRPr="00C6380A">
                              <w:rPr>
                                <w:sz w:val="22"/>
                                <w:szCs w:val="22"/>
                                <w:lang w:val="en-US"/>
                              </w:rPr>
                              <w:t>At the request of the FOP, th</w:t>
                            </w:r>
                            <w:r>
                              <w:rPr>
                                <w:sz w:val="22"/>
                                <w:szCs w:val="22"/>
                                <w:lang w:val="en-US"/>
                              </w:rPr>
                              <w:t>is</w:t>
                            </w:r>
                            <w:r w:rsidRPr="00C6380A">
                              <w:rPr>
                                <w:sz w:val="22"/>
                                <w:szCs w:val="22"/>
                                <w:lang w:val="en-US"/>
                              </w:rPr>
                              <w:t xml:space="preserve"> Regulation has been moved </w:t>
                            </w:r>
                            <w:r>
                              <w:rPr>
                                <w:sz w:val="22"/>
                                <w:szCs w:val="22"/>
                                <w:lang w:val="en-US"/>
                              </w:rPr>
                              <w:t xml:space="preserve">further down </w:t>
                            </w:r>
                            <w:r w:rsidRPr="00C6380A">
                              <w:rPr>
                                <w:sz w:val="22"/>
                                <w:szCs w:val="22"/>
                                <w:lang w:val="en-US"/>
                              </w:rPr>
                              <w:t>in the structure of this Section of the Exploitation Regulations.</w:t>
                            </w:r>
                          </w:p>
                          <w:p w14:paraId="3386F712" w14:textId="6D49E4D8" w:rsidR="00C6380A" w:rsidRDefault="00C6380A" w:rsidP="00C6380A">
                            <w:pPr>
                              <w:pStyle w:val="ListParagraph"/>
                              <w:numPr>
                                <w:ilvl w:val="0"/>
                                <w:numId w:val="30"/>
                              </w:numPr>
                              <w:rPr>
                                <w:sz w:val="22"/>
                                <w:szCs w:val="22"/>
                                <w:lang w:val="en-US"/>
                              </w:rPr>
                            </w:pPr>
                            <w:r>
                              <w:rPr>
                                <w:sz w:val="22"/>
                                <w:szCs w:val="22"/>
                                <w:lang w:val="en-US"/>
                              </w:rPr>
                              <w:t>Paragraph 1 now also refers to ‘possible consequences’ and the applicable Standard.</w:t>
                            </w:r>
                          </w:p>
                          <w:p w14:paraId="69624C42" w14:textId="77777777" w:rsidR="00397F97" w:rsidRDefault="00C6380A" w:rsidP="00C6380A">
                            <w:pPr>
                              <w:pStyle w:val="ListParagraph"/>
                              <w:numPr>
                                <w:ilvl w:val="0"/>
                                <w:numId w:val="30"/>
                              </w:numPr>
                              <w:rPr>
                                <w:sz w:val="22"/>
                                <w:szCs w:val="22"/>
                                <w:lang w:val="en-US"/>
                              </w:rPr>
                            </w:pPr>
                            <w:r>
                              <w:rPr>
                                <w:sz w:val="22"/>
                                <w:szCs w:val="22"/>
                                <w:lang w:val="en-US"/>
                              </w:rPr>
                              <w:t xml:space="preserve">The wording of paragraph 2 has been changed: </w:t>
                            </w:r>
                            <w:r w:rsidR="00397F97">
                              <w:rPr>
                                <w:sz w:val="22"/>
                                <w:szCs w:val="22"/>
                                <w:lang w:val="en-US"/>
                              </w:rPr>
                              <w:t xml:space="preserve">measures must now be commensurate to </w:t>
                            </w:r>
                            <w:r w:rsidR="00397F97">
                              <w:rPr>
                                <w:sz w:val="22"/>
                                <w:szCs w:val="22"/>
                                <w:u w:val="single"/>
                                <w:lang w:val="en-US"/>
                              </w:rPr>
                              <w:t>the extent and nature</w:t>
                            </w:r>
                            <w:r w:rsidR="00397F97">
                              <w:rPr>
                                <w:sz w:val="22"/>
                                <w:szCs w:val="22"/>
                                <w:lang w:val="en-US"/>
                              </w:rPr>
                              <w:t xml:space="preserve"> of a breach (wording added); the reference to ‘gravity’ of a breach has changed to ‘severity’ of a breach; and the Contractor’s conduct is specified to the conduct in relation to the breach.</w:t>
                            </w:r>
                          </w:p>
                          <w:p w14:paraId="2F16006C" w14:textId="51E02589" w:rsidR="00C6380A" w:rsidRDefault="00397F97" w:rsidP="00C6380A">
                            <w:pPr>
                              <w:pStyle w:val="ListParagraph"/>
                              <w:numPr>
                                <w:ilvl w:val="0"/>
                                <w:numId w:val="30"/>
                              </w:numPr>
                              <w:rPr>
                                <w:sz w:val="22"/>
                                <w:szCs w:val="22"/>
                                <w:lang w:val="en-US"/>
                              </w:rPr>
                            </w:pPr>
                            <w:r>
                              <w:rPr>
                                <w:sz w:val="22"/>
                                <w:szCs w:val="22"/>
                                <w:lang w:val="en-US"/>
                              </w:rPr>
                              <w:t>Further to discussions in the FOP on mechanics of this Regulation, paragraph 3 now provides that aggravating and mitigating factors are relevant to determining the severity of a breach.</w:t>
                            </w:r>
                            <w:r w:rsidR="00C6380A">
                              <w:rPr>
                                <w:sz w:val="22"/>
                                <w:szCs w:val="22"/>
                                <w:lang w:val="en-US"/>
                              </w:rPr>
                              <w:t xml:space="preserve"> </w:t>
                            </w:r>
                          </w:p>
                          <w:p w14:paraId="19CBB702" w14:textId="2358D4EE" w:rsidR="00397F97" w:rsidRPr="00C6380A" w:rsidRDefault="00397F97" w:rsidP="00C6380A">
                            <w:pPr>
                              <w:pStyle w:val="ListParagraph"/>
                              <w:numPr>
                                <w:ilvl w:val="0"/>
                                <w:numId w:val="30"/>
                              </w:numPr>
                              <w:rPr>
                                <w:sz w:val="22"/>
                                <w:szCs w:val="22"/>
                                <w:lang w:val="en-US"/>
                              </w:rPr>
                            </w:pPr>
                            <w:r>
                              <w:rPr>
                                <w:sz w:val="22"/>
                                <w:szCs w:val="22"/>
                                <w:lang w:val="en-US"/>
                              </w:rPr>
                              <w:t xml:space="preserve">Paragraph 4 now mentions a Standard rather than a Guideline. It is noted that the Standard should provide the Compliance Committee sufficient discretion. </w:t>
                            </w:r>
                          </w:p>
                        </w:txbxContent>
                      </wps:txbx>
                      <wps:bodyPr rot="0" vert="horz" wrap="square" lIns="91440" tIns="45720" rIns="91440" bIns="45720" anchor="t" anchorCtr="0">
                        <a:noAutofit/>
                      </wps:bodyPr>
                    </wps:wsp>
                  </a:graphicData>
                </a:graphic>
              </wp:inline>
            </w:drawing>
          </mc:Choice>
          <mc:Fallback>
            <w:pict>
              <v:shape w14:anchorId="621919ED" id="_x0000_s1028" type="#_x0000_t202" style="width:448.35pt;height:2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" fillcolor="#d8d8d8 [2732]">
                <v:textbox>
                  <w:txbxContent>
                    <w:p w14:paraId="3D6FFA33" w14:textId="77777777" w:rsidR="00C6380A" w:rsidRPr="00CA737D" w:rsidRDefault="00C6380A" w:rsidP="00C6380A">
                      <w:pPr>
                        <w:rPr>
                          <w:b/>
                          <w:bCs/>
                          <w:sz w:val="22"/>
                          <w:szCs w:val="22"/>
                        </w:rPr>
                      </w:pPr>
                      <w:r w:rsidRPr="00CA737D">
                        <w:rPr>
                          <w:b/>
                          <w:bCs/>
                          <w:sz w:val="22"/>
                          <w:szCs w:val="22"/>
                        </w:rPr>
                        <w:t>Organizers’ notes:</w:t>
                      </w:r>
                    </w:p>
                    <w:p w14:paraId="0BDE3DCA" w14:textId="77777777" w:rsidR="00C6380A" w:rsidRPr="00CA737D" w:rsidRDefault="00C6380A" w:rsidP="00C6380A">
                      <w:pPr>
                        <w:rPr>
                          <w:b/>
                          <w:bCs/>
                          <w:sz w:val="22"/>
                          <w:szCs w:val="22"/>
                        </w:rPr>
                      </w:pPr>
                    </w:p>
                    <w:p w14:paraId="5EA3CB48" w14:textId="783D4469" w:rsidR="00C6380A" w:rsidRPr="00CA737D" w:rsidRDefault="00C6380A" w:rsidP="00C6380A">
                      <w:pPr>
                        <w:rPr>
                          <w:sz w:val="22"/>
                          <w:szCs w:val="22"/>
                        </w:rPr>
                      </w:pPr>
                      <w:r>
                        <w:rPr>
                          <w:sz w:val="22"/>
                          <w:szCs w:val="22"/>
                        </w:rPr>
                        <w:t>The</w:t>
                      </w:r>
                      <w:r w:rsidRPr="00CA737D">
                        <w:rPr>
                          <w:sz w:val="22"/>
                          <w:szCs w:val="22"/>
                        </w:rPr>
                        <w:t xml:space="preserve"> new DR 103</w:t>
                      </w:r>
                      <w:r>
                        <w:rPr>
                          <w:sz w:val="22"/>
                          <w:szCs w:val="22"/>
                        </w:rPr>
                        <w:t>ter</w:t>
                      </w:r>
                      <w:r>
                        <w:rPr>
                          <w:sz w:val="22"/>
                          <w:szCs w:val="22"/>
                        </w:rPr>
                        <w:t xml:space="preserve"> has been amended as follows</w:t>
                      </w:r>
                      <w:r w:rsidRPr="00CA737D">
                        <w:rPr>
                          <w:sz w:val="22"/>
                          <w:szCs w:val="22"/>
                        </w:rPr>
                        <w:t>:</w:t>
                      </w:r>
                    </w:p>
                    <w:p w14:paraId="16ACE47F" w14:textId="77777777" w:rsidR="00C6380A" w:rsidRDefault="00C6380A" w:rsidP="00C6380A">
                      <w:pPr>
                        <w:rPr>
                          <w:sz w:val="22"/>
                          <w:szCs w:val="22"/>
                        </w:rPr>
                      </w:pPr>
                    </w:p>
                    <w:p w14:paraId="67F517E4" w14:textId="2DEA856D" w:rsidR="00C6380A" w:rsidRDefault="00C6380A" w:rsidP="00C6380A">
                      <w:pPr>
                        <w:pStyle w:val="ListParagraph"/>
                        <w:numPr>
                          <w:ilvl w:val="0"/>
                          <w:numId w:val="30"/>
                        </w:numPr>
                        <w:rPr>
                          <w:sz w:val="22"/>
                          <w:szCs w:val="22"/>
                          <w:lang w:val="en-US"/>
                        </w:rPr>
                      </w:pPr>
                      <w:r w:rsidRPr="00C6380A">
                        <w:rPr>
                          <w:sz w:val="22"/>
                          <w:szCs w:val="22"/>
                          <w:lang w:val="en-US"/>
                        </w:rPr>
                        <w:t>At the request of the FOP, th</w:t>
                      </w:r>
                      <w:r>
                        <w:rPr>
                          <w:sz w:val="22"/>
                          <w:szCs w:val="22"/>
                          <w:lang w:val="en-US"/>
                        </w:rPr>
                        <w:t>is</w:t>
                      </w:r>
                      <w:r w:rsidRPr="00C6380A">
                        <w:rPr>
                          <w:sz w:val="22"/>
                          <w:szCs w:val="22"/>
                          <w:lang w:val="en-US"/>
                        </w:rPr>
                        <w:t xml:space="preserve"> Regulation has been moved </w:t>
                      </w:r>
                      <w:r>
                        <w:rPr>
                          <w:sz w:val="22"/>
                          <w:szCs w:val="22"/>
                          <w:lang w:val="en-US"/>
                        </w:rPr>
                        <w:t xml:space="preserve">further down </w:t>
                      </w:r>
                      <w:r w:rsidRPr="00C6380A">
                        <w:rPr>
                          <w:sz w:val="22"/>
                          <w:szCs w:val="22"/>
                          <w:lang w:val="en-US"/>
                        </w:rPr>
                        <w:t>in the structure of this Section of the Exploitation Regulations.</w:t>
                      </w:r>
                    </w:p>
                    <w:p w14:paraId="3386F712" w14:textId="6D49E4D8" w:rsidR="00C6380A" w:rsidRDefault="00C6380A" w:rsidP="00C6380A">
                      <w:pPr>
                        <w:pStyle w:val="ListParagraph"/>
                        <w:numPr>
                          <w:ilvl w:val="0"/>
                          <w:numId w:val="30"/>
                        </w:numPr>
                        <w:rPr>
                          <w:sz w:val="22"/>
                          <w:szCs w:val="22"/>
                          <w:lang w:val="en-US"/>
                        </w:rPr>
                      </w:pPr>
                      <w:r>
                        <w:rPr>
                          <w:sz w:val="22"/>
                          <w:szCs w:val="22"/>
                          <w:lang w:val="en-US"/>
                        </w:rPr>
                        <w:t>Paragraph 1 now also refers to ‘possible consequences’ and the applicable Standard.</w:t>
                      </w:r>
                    </w:p>
                    <w:p w14:paraId="69624C42" w14:textId="77777777" w:rsidR="00397F97" w:rsidRDefault="00C6380A" w:rsidP="00C6380A">
                      <w:pPr>
                        <w:pStyle w:val="ListParagraph"/>
                        <w:numPr>
                          <w:ilvl w:val="0"/>
                          <w:numId w:val="30"/>
                        </w:numPr>
                        <w:rPr>
                          <w:sz w:val="22"/>
                          <w:szCs w:val="22"/>
                          <w:lang w:val="en-US"/>
                        </w:rPr>
                      </w:pPr>
                      <w:r>
                        <w:rPr>
                          <w:sz w:val="22"/>
                          <w:szCs w:val="22"/>
                          <w:lang w:val="en-US"/>
                        </w:rPr>
                        <w:t xml:space="preserve">The wording of paragraph 2 has been changed: </w:t>
                      </w:r>
                      <w:r w:rsidR="00397F97">
                        <w:rPr>
                          <w:sz w:val="22"/>
                          <w:szCs w:val="22"/>
                          <w:lang w:val="en-US"/>
                        </w:rPr>
                        <w:t xml:space="preserve">measures must now be commensurate to </w:t>
                      </w:r>
                      <w:r w:rsidR="00397F97">
                        <w:rPr>
                          <w:sz w:val="22"/>
                          <w:szCs w:val="22"/>
                          <w:u w:val="single"/>
                          <w:lang w:val="en-US"/>
                        </w:rPr>
                        <w:t>the extent and nature</w:t>
                      </w:r>
                      <w:r w:rsidR="00397F97">
                        <w:rPr>
                          <w:sz w:val="22"/>
                          <w:szCs w:val="22"/>
                          <w:lang w:val="en-US"/>
                        </w:rPr>
                        <w:t xml:space="preserve"> of a breach (wording added); the reference to ‘gravity’ of a breach has changed to ‘severity’ of a breach; and the Contractor’s conduct is specified to the conduct in relation to the breach.</w:t>
                      </w:r>
                    </w:p>
                    <w:p w14:paraId="2F16006C" w14:textId="51E02589" w:rsidR="00C6380A" w:rsidRDefault="00397F97" w:rsidP="00C6380A">
                      <w:pPr>
                        <w:pStyle w:val="ListParagraph"/>
                        <w:numPr>
                          <w:ilvl w:val="0"/>
                          <w:numId w:val="30"/>
                        </w:numPr>
                        <w:rPr>
                          <w:sz w:val="22"/>
                          <w:szCs w:val="22"/>
                          <w:lang w:val="en-US"/>
                        </w:rPr>
                      </w:pPr>
                      <w:r>
                        <w:rPr>
                          <w:sz w:val="22"/>
                          <w:szCs w:val="22"/>
                          <w:lang w:val="en-US"/>
                        </w:rPr>
                        <w:t>Further to discussions in the FOP on mechanics of this Regulation, paragraph 3 now provides that aggravating and mitigating factors are relevant to determining the severity of a breach.</w:t>
                      </w:r>
                      <w:r w:rsidR="00C6380A">
                        <w:rPr>
                          <w:sz w:val="22"/>
                          <w:szCs w:val="22"/>
                          <w:lang w:val="en-US"/>
                        </w:rPr>
                        <w:t xml:space="preserve"> </w:t>
                      </w:r>
                    </w:p>
                    <w:p w14:paraId="19CBB702" w14:textId="2358D4EE" w:rsidR="00397F97" w:rsidRPr="00C6380A" w:rsidRDefault="00397F97" w:rsidP="00C6380A">
                      <w:pPr>
                        <w:pStyle w:val="ListParagraph"/>
                        <w:numPr>
                          <w:ilvl w:val="0"/>
                          <w:numId w:val="30"/>
                        </w:numPr>
                        <w:rPr>
                          <w:sz w:val="22"/>
                          <w:szCs w:val="22"/>
                          <w:lang w:val="en-US"/>
                        </w:rPr>
                      </w:pPr>
                      <w:r>
                        <w:rPr>
                          <w:sz w:val="22"/>
                          <w:szCs w:val="22"/>
                          <w:lang w:val="en-US"/>
                        </w:rPr>
                        <w:t xml:space="preserve">Paragraph 4 now mentions a Standard rather than a Guideline. It is noted that the Standard should provide the Compliance Committee sufficient discretion. </w:t>
                      </w:r>
                    </w:p>
                  </w:txbxContent>
                </v:textbox>
                <w10:anchorlock/>
              </v:shape>
            </w:pict>
          </mc:Fallback>
        </mc:AlternateContent>
      </w:r>
    </w:p>
    <w:p w14:paraId="24766FC6" w14:textId="77777777" w:rsidR="00C6380A" w:rsidRDefault="00C6380A" w:rsidP="008D6789">
      <w:pPr>
        <w:pStyle w:val="NoSpacing"/>
        <w:spacing w:line="276" w:lineRule="auto"/>
        <w:jc w:val="both"/>
        <w:rPr>
          <w:rFonts w:ascii="Times New Roman" w:hAnsi="Times New Roman" w:cs="Times New Roman"/>
          <w:lang w:val="en-TT"/>
        </w:rPr>
      </w:pPr>
    </w:p>
    <w:p w14:paraId="539D0D4B" w14:textId="13F47698" w:rsidR="008D6789" w:rsidRDefault="009670CF" w:rsidP="008D6789">
      <w:pPr>
        <w:pStyle w:val="NoSpacing"/>
        <w:spacing w:line="276" w:lineRule="auto"/>
        <w:jc w:val="both"/>
        <w:rPr>
          <w:rFonts w:ascii="Times New Roman" w:hAnsi="Times New Roman" w:cs="Times New Roman"/>
          <w:lang w:val="en-TT"/>
        </w:rPr>
      </w:pPr>
      <w:r>
        <w:rPr>
          <w:rFonts w:ascii="Times New Roman" w:hAnsi="Times New Roman" w:cs="Times New Roman"/>
          <w:lang w:val="en-TT"/>
        </w:rPr>
        <w:t>1</w:t>
      </w:r>
      <w:r w:rsidR="008D6789">
        <w:rPr>
          <w:rFonts w:ascii="Times New Roman" w:hAnsi="Times New Roman" w:cs="Times New Roman"/>
          <w:lang w:val="en-TT"/>
        </w:rPr>
        <w:t xml:space="preserve">. The Compliance Committee shall determine the extent and nature of the breach of an Exploitation Contract by a Contractor, by assessing the </w:t>
      </w:r>
      <w:r w:rsidR="00FE0F13">
        <w:rPr>
          <w:rFonts w:ascii="Times New Roman" w:hAnsi="Times New Roman" w:cs="Times New Roman"/>
          <w:lang w:val="en-TT"/>
        </w:rPr>
        <w:t xml:space="preserve">consequences or </w:t>
      </w:r>
      <w:r w:rsidR="008D6789">
        <w:rPr>
          <w:rFonts w:ascii="Times New Roman" w:hAnsi="Times New Roman" w:cs="Times New Roman"/>
          <w:lang w:val="en-TT"/>
        </w:rPr>
        <w:t>possible consequences of the breach and the conduct of the Contractor</w:t>
      </w:r>
      <w:r w:rsidR="0046478C">
        <w:rPr>
          <w:rFonts w:ascii="Times New Roman" w:hAnsi="Times New Roman" w:cs="Times New Roman"/>
          <w:lang w:val="en-TT"/>
        </w:rPr>
        <w:t xml:space="preserve"> in relation to the breach</w:t>
      </w:r>
      <w:r w:rsidR="008D6789">
        <w:rPr>
          <w:rFonts w:ascii="Times New Roman" w:hAnsi="Times New Roman" w:cs="Times New Roman"/>
          <w:lang w:val="en-TT"/>
        </w:rPr>
        <w:t xml:space="preserve">, </w:t>
      </w:r>
      <w:r w:rsidR="0046478C">
        <w:rPr>
          <w:rFonts w:ascii="Times New Roman" w:hAnsi="Times New Roman" w:cs="Times New Roman"/>
          <w:lang w:val="en-TT"/>
        </w:rPr>
        <w:t>in accordance with the applicable Standard</w:t>
      </w:r>
      <w:r w:rsidR="008D6789">
        <w:rPr>
          <w:rFonts w:ascii="Times New Roman" w:hAnsi="Times New Roman" w:cs="Times New Roman"/>
          <w:lang w:val="en-TT"/>
        </w:rPr>
        <w:t xml:space="preserve">. </w:t>
      </w:r>
    </w:p>
    <w:p w14:paraId="4B13DF85" w14:textId="77777777" w:rsidR="008D6789" w:rsidRDefault="008D6789" w:rsidP="008D6789">
      <w:pPr>
        <w:pStyle w:val="NoSpacing"/>
        <w:spacing w:line="276" w:lineRule="auto"/>
        <w:jc w:val="both"/>
        <w:rPr>
          <w:rFonts w:ascii="Times New Roman" w:hAnsi="Times New Roman" w:cs="Times New Roman"/>
          <w:lang w:val="en-TT"/>
        </w:rPr>
      </w:pPr>
    </w:p>
    <w:p w14:paraId="737756FC" w14:textId="53CFE341" w:rsidR="009670CF" w:rsidRDefault="009670CF" w:rsidP="008D6789">
      <w:pPr>
        <w:pStyle w:val="NoSpacing"/>
        <w:spacing w:line="276" w:lineRule="auto"/>
        <w:jc w:val="both"/>
        <w:rPr>
          <w:rFonts w:ascii="Times New Roman" w:hAnsi="Times New Roman" w:cs="Times New Roman"/>
          <w:lang w:val="en-US"/>
        </w:rPr>
      </w:pPr>
      <w:r>
        <w:rPr>
          <w:rFonts w:ascii="Times New Roman" w:hAnsi="Times New Roman" w:cs="Times New Roman"/>
          <w:lang w:val="en-TT"/>
        </w:rPr>
        <w:t>2</w:t>
      </w:r>
      <w:r w:rsidR="008D6789">
        <w:rPr>
          <w:rFonts w:ascii="Times New Roman" w:hAnsi="Times New Roman" w:cs="Times New Roman"/>
          <w:lang w:val="en-TT"/>
        </w:rPr>
        <w:t>. T</w:t>
      </w:r>
      <w:r w:rsidR="008D6789">
        <w:rPr>
          <w:rFonts w:ascii="Times New Roman" w:hAnsi="Times New Roman" w:cs="Times New Roman"/>
          <w:lang w:val="en-US"/>
        </w:rPr>
        <w:t xml:space="preserve">he Compliance Committee shall take proportionate measures that are commensurate to the </w:t>
      </w:r>
      <w:r w:rsidR="0046478C">
        <w:rPr>
          <w:rFonts w:ascii="Times New Roman" w:hAnsi="Times New Roman" w:cs="Times New Roman"/>
          <w:lang w:val="en-US"/>
        </w:rPr>
        <w:t xml:space="preserve">extent and nature of the </w:t>
      </w:r>
      <w:r w:rsidR="008D6789">
        <w:rPr>
          <w:rFonts w:ascii="Times New Roman" w:hAnsi="Times New Roman" w:cs="Times New Roman"/>
          <w:lang w:val="en-US"/>
        </w:rPr>
        <w:t>breach of the Exploitation Contract</w:t>
      </w:r>
      <w:r w:rsidR="0046478C">
        <w:rPr>
          <w:rFonts w:ascii="Times New Roman" w:hAnsi="Times New Roman" w:cs="Times New Roman"/>
          <w:lang w:val="en-US"/>
        </w:rPr>
        <w:t>, as well as</w:t>
      </w:r>
      <w:r w:rsidR="008D6789">
        <w:rPr>
          <w:rFonts w:ascii="Times New Roman" w:hAnsi="Times New Roman" w:cs="Times New Roman"/>
          <w:lang w:val="en-US"/>
        </w:rPr>
        <w:t xml:space="preserve"> the circumstances</w:t>
      </w:r>
      <w:r w:rsidR="0046478C">
        <w:rPr>
          <w:rFonts w:ascii="Times New Roman" w:hAnsi="Times New Roman" w:cs="Times New Roman"/>
          <w:lang w:val="en-US"/>
        </w:rPr>
        <w:t xml:space="preserve"> of the breach</w:t>
      </w:r>
      <w:r w:rsidR="008D6789">
        <w:rPr>
          <w:rFonts w:ascii="Times New Roman" w:hAnsi="Times New Roman" w:cs="Times New Roman"/>
          <w:lang w:val="en-US"/>
        </w:rPr>
        <w:t xml:space="preserve">. Relevant to determining the proportionality of a measure are (a) the </w:t>
      </w:r>
      <w:r w:rsidR="0046478C">
        <w:rPr>
          <w:rFonts w:ascii="Times New Roman" w:hAnsi="Times New Roman" w:cs="Times New Roman"/>
          <w:lang w:val="en-US"/>
        </w:rPr>
        <w:t>severity</w:t>
      </w:r>
      <w:r w:rsidR="008D6789">
        <w:rPr>
          <w:rFonts w:ascii="Times New Roman" w:hAnsi="Times New Roman" w:cs="Times New Roman"/>
          <w:lang w:val="en-US"/>
        </w:rPr>
        <w:t xml:space="preserve"> and</w:t>
      </w:r>
      <w:r w:rsidR="008D6789" w:rsidRPr="00C151E9">
        <w:rPr>
          <w:rFonts w:ascii="Times New Roman" w:hAnsi="Times New Roman" w:cs="Times New Roman"/>
          <w:lang w:val="en-US"/>
        </w:rPr>
        <w:t xml:space="preserve"> frequency </w:t>
      </w:r>
      <w:r w:rsidR="008D6789">
        <w:rPr>
          <w:rFonts w:ascii="Times New Roman" w:hAnsi="Times New Roman" w:cs="Times New Roman"/>
          <w:lang w:val="en-US"/>
        </w:rPr>
        <w:t>of the breach and (b) the Contractor’s conduct</w:t>
      </w:r>
      <w:r w:rsidR="0046478C">
        <w:rPr>
          <w:rFonts w:ascii="Times New Roman" w:hAnsi="Times New Roman" w:cs="Times New Roman"/>
          <w:lang w:val="en-US"/>
        </w:rPr>
        <w:t xml:space="preserve"> in relation to the breach</w:t>
      </w:r>
      <w:r w:rsidR="008D6789">
        <w:rPr>
          <w:rFonts w:ascii="Times New Roman" w:hAnsi="Times New Roman" w:cs="Times New Roman"/>
          <w:lang w:val="en-US"/>
        </w:rPr>
        <w:t xml:space="preserve">. </w:t>
      </w:r>
    </w:p>
    <w:p w14:paraId="707B2E90" w14:textId="77777777" w:rsidR="009670CF" w:rsidRDefault="009670CF" w:rsidP="008D6789">
      <w:pPr>
        <w:pStyle w:val="NoSpacing"/>
        <w:spacing w:line="276" w:lineRule="auto"/>
        <w:jc w:val="both"/>
        <w:rPr>
          <w:rFonts w:ascii="Times New Roman" w:hAnsi="Times New Roman" w:cs="Times New Roman"/>
          <w:lang w:val="en-US"/>
        </w:rPr>
      </w:pPr>
    </w:p>
    <w:p w14:paraId="5472D306" w14:textId="5252D77C" w:rsidR="008D6789" w:rsidRDefault="009670CF" w:rsidP="008D6789">
      <w:pPr>
        <w:pStyle w:val="NoSpacing"/>
        <w:spacing w:line="276" w:lineRule="auto"/>
        <w:jc w:val="both"/>
        <w:rPr>
          <w:rFonts w:ascii="Times New Roman" w:hAnsi="Times New Roman" w:cs="Times New Roman"/>
          <w:lang w:val="en-US"/>
        </w:rPr>
      </w:pPr>
      <w:r>
        <w:rPr>
          <w:rFonts w:ascii="Times New Roman" w:hAnsi="Times New Roman" w:cs="Times New Roman"/>
          <w:lang w:val="en-US"/>
        </w:rPr>
        <w:t xml:space="preserve">3. In determining the </w:t>
      </w:r>
      <w:r w:rsidR="0046478C">
        <w:rPr>
          <w:rFonts w:ascii="Times New Roman" w:hAnsi="Times New Roman" w:cs="Times New Roman"/>
          <w:lang w:val="en-US"/>
        </w:rPr>
        <w:t>severity</w:t>
      </w:r>
      <w:r>
        <w:rPr>
          <w:rFonts w:ascii="Times New Roman" w:hAnsi="Times New Roman" w:cs="Times New Roman"/>
          <w:lang w:val="en-US"/>
        </w:rPr>
        <w:t xml:space="preserve"> of a breach, t</w:t>
      </w:r>
      <w:r w:rsidR="008D6789">
        <w:rPr>
          <w:rFonts w:ascii="Times New Roman" w:hAnsi="Times New Roman" w:cs="Times New Roman"/>
          <w:lang w:val="en-US"/>
        </w:rPr>
        <w:t xml:space="preserve">he Compliance Committee </w:t>
      </w:r>
      <w:r w:rsidR="0046478C">
        <w:rPr>
          <w:rFonts w:ascii="Times New Roman" w:hAnsi="Times New Roman" w:cs="Times New Roman"/>
          <w:lang w:val="en-US"/>
        </w:rPr>
        <w:t>shall</w:t>
      </w:r>
      <w:r w:rsidR="008D6789">
        <w:rPr>
          <w:rFonts w:ascii="Times New Roman" w:hAnsi="Times New Roman" w:cs="Times New Roman"/>
          <w:lang w:val="en-US"/>
        </w:rPr>
        <w:t xml:space="preserve"> take the following aggravating and mitigating circumstances into account:</w:t>
      </w:r>
    </w:p>
    <w:p w14:paraId="5416619F" w14:textId="77777777" w:rsidR="008D6789" w:rsidRDefault="008D6789" w:rsidP="008D6789">
      <w:pPr>
        <w:pStyle w:val="NoSpacing"/>
        <w:spacing w:line="276" w:lineRule="auto"/>
        <w:jc w:val="both"/>
        <w:rPr>
          <w:rFonts w:ascii="Times New Roman" w:hAnsi="Times New Roman" w:cs="Times New Roman"/>
          <w:lang w:val="en-US"/>
        </w:rPr>
      </w:pPr>
    </w:p>
    <w:p w14:paraId="79AC05CC" w14:textId="77777777" w:rsidR="008D6789" w:rsidRDefault="008D6789" w:rsidP="008D6789">
      <w:pPr>
        <w:pStyle w:val="NoSpacing"/>
        <w:numPr>
          <w:ilvl w:val="0"/>
          <w:numId w:val="18"/>
        </w:numPr>
        <w:spacing w:line="276" w:lineRule="auto"/>
        <w:jc w:val="both"/>
        <w:rPr>
          <w:rFonts w:ascii="Times New Roman" w:hAnsi="Times New Roman" w:cs="Times New Roman"/>
          <w:lang w:val="en-US"/>
        </w:rPr>
      </w:pPr>
      <w:r>
        <w:rPr>
          <w:rFonts w:ascii="Times New Roman" w:hAnsi="Times New Roman" w:cs="Times New Roman"/>
          <w:lang w:val="en-US"/>
        </w:rPr>
        <w:t xml:space="preserve">aggravating circumstances are, among others, whether: </w:t>
      </w:r>
    </w:p>
    <w:p w14:paraId="576758AC" w14:textId="77777777" w:rsidR="008D6789" w:rsidRDefault="008D6789" w:rsidP="008D6789">
      <w:pPr>
        <w:pStyle w:val="NoSpacing"/>
        <w:spacing w:line="276" w:lineRule="auto"/>
        <w:ind w:left="1080"/>
        <w:jc w:val="both"/>
        <w:rPr>
          <w:rFonts w:ascii="Times New Roman" w:hAnsi="Times New Roman" w:cs="Times New Roman"/>
          <w:lang w:val="en-US"/>
        </w:rPr>
      </w:pPr>
    </w:p>
    <w:p w14:paraId="32C1982D" w14:textId="77777777" w:rsidR="008D6789" w:rsidRDefault="008D6789" w:rsidP="008D6789">
      <w:pPr>
        <w:pStyle w:val="NoSpacing"/>
        <w:numPr>
          <w:ilvl w:val="0"/>
          <w:numId w:val="16"/>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 xml:space="preserve">the Contractor gained a financial advantage by the breach; </w:t>
      </w:r>
    </w:p>
    <w:p w14:paraId="47F7BA15" w14:textId="77777777" w:rsidR="008D6789" w:rsidRDefault="008D6789" w:rsidP="008D6789">
      <w:pPr>
        <w:pStyle w:val="NoSpacing"/>
        <w:numPr>
          <w:ilvl w:val="0"/>
          <w:numId w:val="16"/>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 xml:space="preserve">the Contractor concealed relevant facts, provided information that is false or misleading, committed forgery of documents, engaging in corruption; </w:t>
      </w:r>
    </w:p>
    <w:p w14:paraId="05AA9944" w14:textId="77777777" w:rsidR="008D6789" w:rsidRDefault="008D6789" w:rsidP="008D6789">
      <w:pPr>
        <w:pStyle w:val="NoSpacing"/>
        <w:numPr>
          <w:ilvl w:val="0"/>
          <w:numId w:val="16"/>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 xml:space="preserve">imposing a financial penalty on the Contractor will likely not cause the Contractor to comply with the Exploitation Contract; </w:t>
      </w:r>
    </w:p>
    <w:p w14:paraId="7CC66CD0" w14:textId="77777777" w:rsidR="008D6789" w:rsidRDefault="008D6789" w:rsidP="008D6789">
      <w:pPr>
        <w:pStyle w:val="NoSpacing"/>
        <w:numPr>
          <w:ilvl w:val="0"/>
          <w:numId w:val="16"/>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the Inspectors have been hindered in the exercise of their duties; or</w:t>
      </w:r>
    </w:p>
    <w:p w14:paraId="634960B8" w14:textId="703D103C" w:rsidR="008D6789" w:rsidRDefault="008D6789" w:rsidP="008D6789">
      <w:pPr>
        <w:pStyle w:val="NoSpacing"/>
        <w:numPr>
          <w:ilvl w:val="0"/>
          <w:numId w:val="16"/>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human life has been endangered</w:t>
      </w:r>
      <w:r w:rsidR="009670CF">
        <w:rPr>
          <w:rFonts w:ascii="Times New Roman" w:hAnsi="Times New Roman" w:cs="Times New Roman"/>
          <w:lang w:val="en-US"/>
        </w:rPr>
        <w:t>.</w:t>
      </w:r>
    </w:p>
    <w:p w14:paraId="3D76B7EA" w14:textId="77777777" w:rsidR="008D6789" w:rsidRDefault="008D6789" w:rsidP="008D6789">
      <w:pPr>
        <w:pStyle w:val="NoSpacing"/>
        <w:spacing w:line="276" w:lineRule="auto"/>
        <w:jc w:val="both"/>
        <w:rPr>
          <w:rFonts w:ascii="Times New Roman" w:hAnsi="Times New Roman" w:cs="Times New Roman"/>
          <w:lang w:val="en-US"/>
        </w:rPr>
      </w:pPr>
    </w:p>
    <w:p w14:paraId="0E7A5943" w14:textId="77777777" w:rsidR="008D6789" w:rsidRDefault="008D6789" w:rsidP="008D6789">
      <w:pPr>
        <w:pStyle w:val="NoSpacing"/>
        <w:numPr>
          <w:ilvl w:val="0"/>
          <w:numId w:val="18"/>
        </w:numPr>
        <w:spacing w:line="276" w:lineRule="auto"/>
        <w:jc w:val="both"/>
        <w:rPr>
          <w:rFonts w:ascii="Times New Roman" w:hAnsi="Times New Roman" w:cs="Times New Roman"/>
          <w:lang w:val="en-US"/>
        </w:rPr>
      </w:pPr>
      <w:r>
        <w:rPr>
          <w:rFonts w:ascii="Times New Roman" w:hAnsi="Times New Roman" w:cs="Times New Roman"/>
          <w:lang w:val="en-US"/>
        </w:rPr>
        <w:t xml:space="preserve"> mitigating circumstances are, among others, whether:</w:t>
      </w:r>
    </w:p>
    <w:p w14:paraId="06BF1D3C" w14:textId="7874108A" w:rsidR="008D6789" w:rsidRDefault="008D6789" w:rsidP="008D6789">
      <w:pPr>
        <w:pStyle w:val="NoSpacing"/>
        <w:numPr>
          <w:ilvl w:val="0"/>
          <w:numId w:val="17"/>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the Contractor notified the Inspectors or the Compliance Committee directly about the circumstances leading to the breach and/or the breach itself;</w:t>
      </w:r>
      <w:r w:rsidR="009670CF">
        <w:rPr>
          <w:rFonts w:ascii="Times New Roman" w:hAnsi="Times New Roman" w:cs="Times New Roman"/>
          <w:lang w:val="en-US"/>
        </w:rPr>
        <w:t xml:space="preserve"> or</w:t>
      </w:r>
    </w:p>
    <w:p w14:paraId="6CD13B9E" w14:textId="15DA3C04" w:rsidR="008D6789" w:rsidRDefault="008D6789" w:rsidP="008D6789">
      <w:pPr>
        <w:pStyle w:val="NoSpacing"/>
        <w:numPr>
          <w:ilvl w:val="0"/>
          <w:numId w:val="17"/>
        </w:numPr>
        <w:spacing w:line="276" w:lineRule="auto"/>
        <w:ind w:left="1701" w:hanging="425"/>
        <w:jc w:val="both"/>
        <w:rPr>
          <w:rFonts w:ascii="Times New Roman" w:hAnsi="Times New Roman" w:cs="Times New Roman"/>
          <w:lang w:val="en-US"/>
        </w:rPr>
      </w:pPr>
      <w:r>
        <w:rPr>
          <w:rFonts w:ascii="Times New Roman" w:hAnsi="Times New Roman" w:cs="Times New Roman"/>
          <w:lang w:val="en-US"/>
        </w:rPr>
        <w:t>the Contractor’s failure to comply with the Exploitation Contract was caused by a force majeure</w:t>
      </w:r>
      <w:r w:rsidR="009670CF">
        <w:rPr>
          <w:rFonts w:ascii="Times New Roman" w:hAnsi="Times New Roman" w:cs="Times New Roman"/>
          <w:lang w:val="en-US"/>
        </w:rPr>
        <w:t>.</w:t>
      </w:r>
    </w:p>
    <w:p w14:paraId="751ED766" w14:textId="77777777" w:rsidR="008D6789" w:rsidRDefault="008D6789" w:rsidP="00CB2672">
      <w:pPr>
        <w:pStyle w:val="NoSpacing"/>
        <w:spacing w:line="276" w:lineRule="auto"/>
        <w:rPr>
          <w:rFonts w:ascii="Times New Roman" w:hAnsi="Times New Roman" w:cs="Times New Roman"/>
          <w:b/>
          <w:bCs/>
          <w:sz w:val="24"/>
          <w:szCs w:val="24"/>
          <w:lang w:val="en-US"/>
        </w:rPr>
      </w:pPr>
    </w:p>
    <w:p w14:paraId="0694A5D7" w14:textId="45585440" w:rsidR="009670CF" w:rsidRDefault="009670CF" w:rsidP="00CB2672">
      <w:pPr>
        <w:pStyle w:val="NoSpacing"/>
        <w:spacing w:line="276" w:lineRule="auto"/>
        <w:rPr>
          <w:rFonts w:ascii="Times New Roman" w:hAnsi="Times New Roman" w:cs="Times New Roman"/>
          <w:b/>
          <w:bCs/>
          <w:sz w:val="24"/>
          <w:szCs w:val="24"/>
          <w:lang w:val="en-US"/>
        </w:rPr>
      </w:pPr>
      <w:r w:rsidRPr="009670CF">
        <w:rPr>
          <w:rFonts w:ascii="Times New Roman" w:hAnsi="Times New Roman" w:cs="Times New Roman"/>
          <w:sz w:val="24"/>
          <w:szCs w:val="24"/>
          <w:lang w:val="en-US"/>
        </w:rPr>
        <w:lastRenderedPageBreak/>
        <w:t xml:space="preserve">4. </w:t>
      </w:r>
      <w:r>
        <w:rPr>
          <w:rFonts w:ascii="Times New Roman" w:hAnsi="Times New Roman" w:cs="Times New Roman"/>
          <w:sz w:val="24"/>
          <w:szCs w:val="24"/>
          <w:lang w:val="en-US"/>
        </w:rPr>
        <w:t>I</w:t>
      </w:r>
      <w:r>
        <w:rPr>
          <w:rFonts w:ascii="Times New Roman" w:hAnsi="Times New Roman" w:cs="Times New Roman"/>
          <w:lang w:val="en-US"/>
        </w:rPr>
        <w:t>n its determination of which measures to prescribe, t</w:t>
      </w:r>
      <w:r w:rsidRPr="009670CF">
        <w:rPr>
          <w:rFonts w:ascii="Times New Roman" w:hAnsi="Times New Roman" w:cs="Times New Roman"/>
          <w:lang w:val="en-US"/>
        </w:rPr>
        <w:t>he</w:t>
      </w:r>
      <w:r>
        <w:rPr>
          <w:rFonts w:ascii="Times New Roman" w:hAnsi="Times New Roman" w:cs="Times New Roman"/>
          <w:lang w:val="en-US"/>
        </w:rPr>
        <w:t xml:space="preserve"> Compliance Committee will </w:t>
      </w:r>
      <w:r w:rsidR="00397F97">
        <w:rPr>
          <w:rFonts w:ascii="Times New Roman" w:hAnsi="Times New Roman" w:cs="Times New Roman"/>
          <w:lang w:val="en-US"/>
        </w:rPr>
        <w:t>apply the applicable Standard</w:t>
      </w:r>
      <w:r>
        <w:rPr>
          <w:rFonts w:ascii="Times New Roman" w:hAnsi="Times New Roman" w:cs="Times New Roman"/>
          <w:lang w:val="en-US"/>
        </w:rPr>
        <w:t xml:space="preserve">. </w:t>
      </w:r>
    </w:p>
    <w:p w14:paraId="7DFEF697" w14:textId="77777777" w:rsidR="009670CF" w:rsidRDefault="009670CF" w:rsidP="00CB2672">
      <w:pPr>
        <w:pStyle w:val="NoSpacing"/>
        <w:spacing w:line="276" w:lineRule="auto"/>
        <w:rPr>
          <w:rFonts w:ascii="Times New Roman" w:hAnsi="Times New Roman" w:cs="Times New Roman"/>
          <w:b/>
          <w:bCs/>
          <w:sz w:val="24"/>
          <w:szCs w:val="24"/>
          <w:lang w:val="en-US"/>
        </w:rPr>
      </w:pPr>
    </w:p>
    <w:p w14:paraId="5A119792" w14:textId="7B23B2EC" w:rsidR="009670CF" w:rsidRDefault="009670CF" w:rsidP="009670CF">
      <w:pPr>
        <w:pStyle w:val="NoSpacing"/>
        <w:spacing w:line="276" w:lineRule="auto"/>
        <w:rPr>
          <w:rFonts w:ascii="Times New Roman" w:hAnsi="Times New Roman" w:cs="Times New Roman"/>
          <w:b/>
          <w:bCs/>
          <w:sz w:val="24"/>
          <w:szCs w:val="24"/>
          <w:lang w:val="en-US"/>
        </w:rPr>
      </w:pPr>
      <w:r w:rsidRPr="00855DD9">
        <w:rPr>
          <w:rFonts w:ascii="Times New Roman" w:hAnsi="Times New Roman" w:cs="Times New Roman"/>
          <w:b/>
          <w:bCs/>
          <w:sz w:val="24"/>
          <w:szCs w:val="24"/>
          <w:lang w:val="en-US"/>
        </w:rPr>
        <w:t xml:space="preserve">Regulation </w:t>
      </w:r>
      <w:r>
        <w:rPr>
          <w:rFonts w:ascii="Times New Roman" w:hAnsi="Times New Roman" w:cs="Times New Roman"/>
          <w:b/>
          <w:bCs/>
          <w:sz w:val="24"/>
          <w:szCs w:val="24"/>
          <w:lang w:val="en-US"/>
        </w:rPr>
        <w:t>103quat</w:t>
      </w:r>
    </w:p>
    <w:p w14:paraId="6FF0B26C" w14:textId="7F099AAD" w:rsidR="009670CF" w:rsidRDefault="009670CF" w:rsidP="009670CF">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Specific procedures through the Council in relation to enforcement</w:t>
      </w:r>
    </w:p>
    <w:p w14:paraId="7FF9D922" w14:textId="77777777" w:rsidR="009670CF" w:rsidRDefault="009670CF" w:rsidP="009670CF">
      <w:pPr>
        <w:pStyle w:val="NoSpacing"/>
        <w:spacing w:line="276" w:lineRule="auto"/>
        <w:rPr>
          <w:rFonts w:ascii="Times New Roman" w:hAnsi="Times New Roman" w:cs="Times New Roman"/>
          <w:b/>
          <w:bCs/>
          <w:sz w:val="24"/>
          <w:szCs w:val="24"/>
          <w:lang w:val="en-US"/>
        </w:rPr>
      </w:pPr>
    </w:p>
    <w:p w14:paraId="66E0D226" w14:textId="53FC6516" w:rsidR="00397F97" w:rsidRDefault="00397F97" w:rsidP="009670CF">
      <w:pPr>
        <w:pStyle w:val="NoSpacing"/>
        <w:spacing w:line="276" w:lineRule="auto"/>
        <w:jc w:val="both"/>
        <w:rPr>
          <w:rFonts w:ascii="Times New Roman" w:hAnsi="Times New Roman" w:cs="Times New Roman"/>
          <w:lang w:val="en-US"/>
        </w:rPr>
      </w:pPr>
      <w:r w:rsidRPr="004146A3">
        <w:rPr>
          <w:rFonts w:ascii="Times New Roman" w:hAnsi="Times New Roman" w:cs="Times New Roman"/>
          <w:noProof/>
          <w:color w:val="215E99" w:themeColor="text2" w:themeTint="BF"/>
          <w:lang w:val="en-US"/>
        </w:rPr>
        <mc:AlternateContent>
          <mc:Choice Requires="wps">
            <w:drawing>
              <wp:inline distT="0" distB="0" distL="0" distR="0" wp14:anchorId="14BED0B1" wp14:editId="17D1BCB3">
                <wp:extent cx="5694045" cy="2004364"/>
                <wp:effectExtent l="0" t="0" r="20955" b="15240"/>
                <wp:docPr id="31221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2004364"/>
                        </a:xfrm>
                        <a:prstGeom prst="rect">
                          <a:avLst/>
                        </a:prstGeom>
                        <a:solidFill>
                          <a:schemeClr val="bg1">
                            <a:lumMod val="85000"/>
                          </a:schemeClr>
                        </a:solidFill>
                        <a:ln w="9525">
                          <a:solidFill>
                            <a:srgbClr val="000000"/>
                          </a:solidFill>
                          <a:miter lim="800000"/>
                          <a:headEnd/>
                          <a:tailEnd/>
                        </a:ln>
                      </wps:spPr>
                      <wps:txbx>
                        <w:txbxContent>
                          <w:p w14:paraId="59EAF69C" w14:textId="77777777" w:rsidR="00397F97" w:rsidRPr="00CA737D" w:rsidRDefault="00397F97" w:rsidP="00397F97">
                            <w:pPr>
                              <w:rPr>
                                <w:b/>
                                <w:bCs/>
                                <w:sz w:val="22"/>
                                <w:szCs w:val="22"/>
                              </w:rPr>
                            </w:pPr>
                            <w:r w:rsidRPr="00CA737D">
                              <w:rPr>
                                <w:b/>
                                <w:bCs/>
                                <w:sz w:val="22"/>
                                <w:szCs w:val="22"/>
                              </w:rPr>
                              <w:t>Organizers’ notes:</w:t>
                            </w:r>
                          </w:p>
                          <w:p w14:paraId="2603B3B6" w14:textId="77777777" w:rsidR="00397F97" w:rsidRPr="00CA737D" w:rsidRDefault="00397F97" w:rsidP="00397F97">
                            <w:pPr>
                              <w:rPr>
                                <w:b/>
                                <w:bCs/>
                                <w:sz w:val="22"/>
                                <w:szCs w:val="22"/>
                              </w:rPr>
                            </w:pPr>
                          </w:p>
                          <w:p w14:paraId="77121C50" w14:textId="79A18560" w:rsidR="00397F97" w:rsidRPr="00CA737D" w:rsidRDefault="00397F97" w:rsidP="00397F97">
                            <w:pPr>
                              <w:rPr>
                                <w:sz w:val="22"/>
                                <w:szCs w:val="22"/>
                              </w:rPr>
                            </w:pPr>
                            <w:r>
                              <w:rPr>
                                <w:sz w:val="22"/>
                                <w:szCs w:val="22"/>
                              </w:rPr>
                              <w:t>The</w:t>
                            </w:r>
                            <w:r w:rsidRPr="00CA737D">
                              <w:rPr>
                                <w:sz w:val="22"/>
                                <w:szCs w:val="22"/>
                              </w:rPr>
                              <w:t xml:space="preserve"> new DR 103</w:t>
                            </w:r>
                            <w:r>
                              <w:rPr>
                                <w:sz w:val="22"/>
                                <w:szCs w:val="22"/>
                              </w:rPr>
                              <w:t>quat</w:t>
                            </w:r>
                            <w:r>
                              <w:rPr>
                                <w:sz w:val="22"/>
                                <w:szCs w:val="22"/>
                              </w:rPr>
                              <w:t xml:space="preserve"> has been amended as follows</w:t>
                            </w:r>
                            <w:r w:rsidRPr="00CA737D">
                              <w:rPr>
                                <w:sz w:val="22"/>
                                <w:szCs w:val="22"/>
                              </w:rPr>
                              <w:t>:</w:t>
                            </w:r>
                          </w:p>
                          <w:p w14:paraId="0CD5290B" w14:textId="77777777" w:rsidR="00397F97" w:rsidRDefault="00397F97" w:rsidP="00397F97">
                            <w:pPr>
                              <w:rPr>
                                <w:sz w:val="22"/>
                                <w:szCs w:val="22"/>
                              </w:rPr>
                            </w:pPr>
                          </w:p>
                          <w:p w14:paraId="7492D51B" w14:textId="4B167FF3" w:rsidR="00397F97" w:rsidRDefault="00397F97" w:rsidP="00397F97">
                            <w:pPr>
                              <w:pStyle w:val="ListParagraph"/>
                              <w:numPr>
                                <w:ilvl w:val="0"/>
                                <w:numId w:val="30"/>
                              </w:numPr>
                              <w:rPr>
                                <w:sz w:val="22"/>
                                <w:szCs w:val="22"/>
                                <w:lang w:val="en-US"/>
                              </w:rPr>
                            </w:pPr>
                            <w:r>
                              <w:rPr>
                                <w:sz w:val="22"/>
                                <w:szCs w:val="22"/>
                                <w:lang w:val="en-US"/>
                              </w:rPr>
                              <w:t>Paragraphs 1 and 2 have been taken from other parts of the Draft Skeleton. The organizers considered it would be most clear if all provisions which foresee an explicit and specific role of the Council are grouped.</w:t>
                            </w:r>
                          </w:p>
                          <w:p w14:paraId="4006503D" w14:textId="462AA24A" w:rsidR="00397F97" w:rsidRDefault="00397F97" w:rsidP="00397F97">
                            <w:pPr>
                              <w:pStyle w:val="ListParagraph"/>
                              <w:numPr>
                                <w:ilvl w:val="0"/>
                                <w:numId w:val="30"/>
                              </w:numPr>
                              <w:rPr>
                                <w:sz w:val="22"/>
                                <w:szCs w:val="22"/>
                                <w:lang w:val="en-US"/>
                              </w:rPr>
                            </w:pPr>
                            <w:r>
                              <w:rPr>
                                <w:sz w:val="22"/>
                                <w:szCs w:val="22"/>
                                <w:lang w:val="en-US"/>
                              </w:rPr>
                              <w:t xml:space="preserve">Paragraph </w:t>
                            </w:r>
                            <w:r>
                              <w:rPr>
                                <w:sz w:val="22"/>
                                <w:szCs w:val="22"/>
                                <w:lang w:val="en-US"/>
                              </w:rPr>
                              <w:t>3</w:t>
                            </w:r>
                            <w:r>
                              <w:rPr>
                                <w:sz w:val="22"/>
                                <w:szCs w:val="22"/>
                                <w:lang w:val="en-US"/>
                              </w:rPr>
                              <w:t xml:space="preserve"> </w:t>
                            </w:r>
                            <w:r w:rsidR="0056288D">
                              <w:rPr>
                                <w:sz w:val="22"/>
                                <w:szCs w:val="22"/>
                                <w:lang w:val="en-US"/>
                              </w:rPr>
                              <w:t>provides that the LTC can recommend</w:t>
                            </w:r>
                            <w:r>
                              <w:rPr>
                                <w:sz w:val="22"/>
                                <w:szCs w:val="22"/>
                                <w:lang w:val="en-US"/>
                              </w:rPr>
                              <w:t xml:space="preserve"> </w:t>
                            </w:r>
                            <w:r w:rsidR="0056288D">
                              <w:rPr>
                                <w:sz w:val="22"/>
                                <w:szCs w:val="22"/>
                                <w:lang w:val="en-US"/>
                              </w:rPr>
                              <w:t xml:space="preserve">to the Council that proceedings before the Seabed Disputes Chamber be instituted. This paragraph is placed in brackets, as, further to the discussions in the context of DR 102, participants might want to discuss whether to provide a role to the Compliance Committee in the decision to institute such proceedings against non-compliant Contractors.  </w:t>
                            </w:r>
                          </w:p>
                          <w:p w14:paraId="0D44F846" w14:textId="77777777" w:rsidR="0056288D" w:rsidRPr="00C6380A" w:rsidRDefault="0056288D" w:rsidP="0056288D">
                            <w:pPr>
                              <w:pStyle w:val="ListParagraph"/>
                              <w:rPr>
                                <w:sz w:val="22"/>
                                <w:szCs w:val="22"/>
                                <w:lang w:val="en-US"/>
                              </w:rPr>
                            </w:pPr>
                          </w:p>
                        </w:txbxContent>
                      </wps:txbx>
                      <wps:bodyPr rot="0" vert="horz" wrap="square" lIns="91440" tIns="45720" rIns="91440" bIns="45720" anchor="t" anchorCtr="0">
                        <a:noAutofit/>
                      </wps:bodyPr>
                    </wps:wsp>
                  </a:graphicData>
                </a:graphic>
              </wp:inline>
            </w:drawing>
          </mc:Choice>
          <mc:Fallback>
            <w:pict>
              <v:shape w14:anchorId="14BED0B1" id="_x0000_s1029" type="#_x0000_t202" style="width:448.35pt;height:1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" fillcolor="#d8d8d8 [2732]">
                <v:textbox>
                  <w:txbxContent>
                    <w:p w14:paraId="59EAF69C" w14:textId="77777777" w:rsidR="00397F97" w:rsidRPr="00CA737D" w:rsidRDefault="00397F97" w:rsidP="00397F97">
                      <w:pPr>
                        <w:rPr>
                          <w:b/>
                          <w:bCs/>
                          <w:sz w:val="22"/>
                          <w:szCs w:val="22"/>
                        </w:rPr>
                      </w:pPr>
                      <w:r w:rsidRPr="00CA737D">
                        <w:rPr>
                          <w:b/>
                          <w:bCs/>
                          <w:sz w:val="22"/>
                          <w:szCs w:val="22"/>
                        </w:rPr>
                        <w:t>Organizers’ notes:</w:t>
                      </w:r>
                    </w:p>
                    <w:p w14:paraId="2603B3B6" w14:textId="77777777" w:rsidR="00397F97" w:rsidRPr="00CA737D" w:rsidRDefault="00397F97" w:rsidP="00397F97">
                      <w:pPr>
                        <w:rPr>
                          <w:b/>
                          <w:bCs/>
                          <w:sz w:val="22"/>
                          <w:szCs w:val="22"/>
                        </w:rPr>
                      </w:pPr>
                    </w:p>
                    <w:p w14:paraId="77121C50" w14:textId="79A18560" w:rsidR="00397F97" w:rsidRPr="00CA737D" w:rsidRDefault="00397F97" w:rsidP="00397F97">
                      <w:pPr>
                        <w:rPr>
                          <w:sz w:val="22"/>
                          <w:szCs w:val="22"/>
                        </w:rPr>
                      </w:pPr>
                      <w:r>
                        <w:rPr>
                          <w:sz w:val="22"/>
                          <w:szCs w:val="22"/>
                        </w:rPr>
                        <w:t>The</w:t>
                      </w:r>
                      <w:r w:rsidRPr="00CA737D">
                        <w:rPr>
                          <w:sz w:val="22"/>
                          <w:szCs w:val="22"/>
                        </w:rPr>
                        <w:t xml:space="preserve"> new DR 103</w:t>
                      </w:r>
                      <w:r>
                        <w:rPr>
                          <w:sz w:val="22"/>
                          <w:szCs w:val="22"/>
                        </w:rPr>
                        <w:t>quat</w:t>
                      </w:r>
                      <w:r>
                        <w:rPr>
                          <w:sz w:val="22"/>
                          <w:szCs w:val="22"/>
                        </w:rPr>
                        <w:t xml:space="preserve"> has been amended as follows</w:t>
                      </w:r>
                      <w:r w:rsidRPr="00CA737D">
                        <w:rPr>
                          <w:sz w:val="22"/>
                          <w:szCs w:val="22"/>
                        </w:rPr>
                        <w:t>:</w:t>
                      </w:r>
                    </w:p>
                    <w:p w14:paraId="0CD5290B" w14:textId="77777777" w:rsidR="00397F97" w:rsidRDefault="00397F97" w:rsidP="00397F97">
                      <w:pPr>
                        <w:rPr>
                          <w:sz w:val="22"/>
                          <w:szCs w:val="22"/>
                        </w:rPr>
                      </w:pPr>
                    </w:p>
                    <w:p w14:paraId="7492D51B" w14:textId="4B167FF3" w:rsidR="00397F97" w:rsidRDefault="00397F97" w:rsidP="00397F97">
                      <w:pPr>
                        <w:pStyle w:val="ListParagraph"/>
                        <w:numPr>
                          <w:ilvl w:val="0"/>
                          <w:numId w:val="30"/>
                        </w:numPr>
                        <w:rPr>
                          <w:sz w:val="22"/>
                          <w:szCs w:val="22"/>
                          <w:lang w:val="en-US"/>
                        </w:rPr>
                      </w:pPr>
                      <w:r>
                        <w:rPr>
                          <w:sz w:val="22"/>
                          <w:szCs w:val="22"/>
                          <w:lang w:val="en-US"/>
                        </w:rPr>
                        <w:t>Paragraphs 1 and 2 have been taken from other parts of the Draft Skeleton. The organizers considered it would be most clear if all provisions which foresee an explicit and specific role of the Council are grouped.</w:t>
                      </w:r>
                    </w:p>
                    <w:p w14:paraId="4006503D" w14:textId="462AA24A" w:rsidR="00397F97" w:rsidRDefault="00397F97" w:rsidP="00397F97">
                      <w:pPr>
                        <w:pStyle w:val="ListParagraph"/>
                        <w:numPr>
                          <w:ilvl w:val="0"/>
                          <w:numId w:val="30"/>
                        </w:numPr>
                        <w:rPr>
                          <w:sz w:val="22"/>
                          <w:szCs w:val="22"/>
                          <w:lang w:val="en-US"/>
                        </w:rPr>
                      </w:pPr>
                      <w:r>
                        <w:rPr>
                          <w:sz w:val="22"/>
                          <w:szCs w:val="22"/>
                          <w:lang w:val="en-US"/>
                        </w:rPr>
                        <w:t xml:space="preserve">Paragraph </w:t>
                      </w:r>
                      <w:r>
                        <w:rPr>
                          <w:sz w:val="22"/>
                          <w:szCs w:val="22"/>
                          <w:lang w:val="en-US"/>
                        </w:rPr>
                        <w:t>3</w:t>
                      </w:r>
                      <w:r>
                        <w:rPr>
                          <w:sz w:val="22"/>
                          <w:szCs w:val="22"/>
                          <w:lang w:val="en-US"/>
                        </w:rPr>
                        <w:t xml:space="preserve"> </w:t>
                      </w:r>
                      <w:r w:rsidR="0056288D">
                        <w:rPr>
                          <w:sz w:val="22"/>
                          <w:szCs w:val="22"/>
                          <w:lang w:val="en-US"/>
                        </w:rPr>
                        <w:t>provides that the LTC can recommend</w:t>
                      </w:r>
                      <w:r>
                        <w:rPr>
                          <w:sz w:val="22"/>
                          <w:szCs w:val="22"/>
                          <w:lang w:val="en-US"/>
                        </w:rPr>
                        <w:t xml:space="preserve"> </w:t>
                      </w:r>
                      <w:r w:rsidR="0056288D">
                        <w:rPr>
                          <w:sz w:val="22"/>
                          <w:szCs w:val="22"/>
                          <w:lang w:val="en-US"/>
                        </w:rPr>
                        <w:t xml:space="preserve">to the Council that proceedings before the Seabed Disputes Chamber be instituted. This paragraph is placed in brackets, as, further to the discussions in the context of DR 102, participants might want to discuss whether to provide a role to the Compliance Committee in the decision to institute such proceedings against non-compliant Contractors.  </w:t>
                      </w:r>
                    </w:p>
                    <w:p w14:paraId="0D44F846" w14:textId="77777777" w:rsidR="0056288D" w:rsidRPr="00C6380A" w:rsidRDefault="0056288D" w:rsidP="0056288D">
                      <w:pPr>
                        <w:pStyle w:val="ListParagraph"/>
                        <w:rPr>
                          <w:sz w:val="22"/>
                          <w:szCs w:val="22"/>
                          <w:lang w:val="en-US"/>
                        </w:rPr>
                      </w:pPr>
                    </w:p>
                  </w:txbxContent>
                </v:textbox>
                <w10:anchorlock/>
              </v:shape>
            </w:pict>
          </mc:Fallback>
        </mc:AlternateContent>
      </w:r>
    </w:p>
    <w:p w14:paraId="614377B7" w14:textId="77777777" w:rsidR="00397F97" w:rsidRDefault="00397F97" w:rsidP="009670CF">
      <w:pPr>
        <w:pStyle w:val="NoSpacing"/>
        <w:spacing w:line="276" w:lineRule="auto"/>
        <w:jc w:val="both"/>
        <w:rPr>
          <w:rFonts w:ascii="Times New Roman" w:hAnsi="Times New Roman" w:cs="Times New Roman"/>
          <w:lang w:val="en-US"/>
        </w:rPr>
      </w:pPr>
    </w:p>
    <w:p w14:paraId="2F0BEFF4" w14:textId="74727AE0" w:rsidR="009670CF" w:rsidRDefault="009670CF" w:rsidP="009670CF">
      <w:pPr>
        <w:pStyle w:val="NoSpacing"/>
        <w:spacing w:line="276" w:lineRule="auto"/>
        <w:jc w:val="both"/>
        <w:rPr>
          <w:rFonts w:ascii="Times New Roman" w:hAnsi="Times New Roman" w:cs="Times New Roman"/>
          <w:lang w:val="en-US"/>
        </w:rPr>
      </w:pPr>
      <w:r>
        <w:rPr>
          <w:rFonts w:ascii="Times New Roman" w:hAnsi="Times New Roman" w:cs="Times New Roman"/>
          <w:lang w:val="en-US"/>
        </w:rPr>
        <w:t>1. In addition to its competences under paragraph 1, t</w:t>
      </w:r>
      <w:r w:rsidRPr="00BC252F">
        <w:rPr>
          <w:rFonts w:ascii="Times New Roman" w:hAnsi="Times New Roman" w:cs="Times New Roman"/>
          <w:lang w:val="en-US"/>
        </w:rPr>
        <w:t xml:space="preserve">he </w:t>
      </w:r>
      <w:r>
        <w:rPr>
          <w:rFonts w:ascii="Times New Roman" w:hAnsi="Times New Roman" w:cs="Times New Roman"/>
          <w:lang w:val="en-US"/>
        </w:rPr>
        <w:t xml:space="preserve">Compliance Committee shall submit cases of non-compliance with the Exploitation Contract to the Council. The </w:t>
      </w:r>
      <w:r w:rsidRPr="00BC252F">
        <w:rPr>
          <w:rFonts w:ascii="Times New Roman" w:hAnsi="Times New Roman" w:cs="Times New Roman"/>
          <w:lang w:val="en-US"/>
        </w:rPr>
        <w:t xml:space="preserve">Council shall invite the attention of the Assembly to </w:t>
      </w:r>
      <w:r>
        <w:rPr>
          <w:rFonts w:ascii="Times New Roman" w:hAnsi="Times New Roman" w:cs="Times New Roman"/>
          <w:lang w:val="en-US"/>
        </w:rPr>
        <w:t xml:space="preserve">such </w:t>
      </w:r>
      <w:r w:rsidRPr="00BC252F">
        <w:rPr>
          <w:rFonts w:ascii="Times New Roman" w:hAnsi="Times New Roman" w:cs="Times New Roman"/>
          <w:lang w:val="en-US"/>
        </w:rPr>
        <w:t>cases of non-compliance</w:t>
      </w:r>
      <w:r>
        <w:rPr>
          <w:rFonts w:ascii="Times New Roman" w:hAnsi="Times New Roman" w:cs="Times New Roman"/>
          <w:lang w:val="en-US"/>
        </w:rPr>
        <w:t>,</w:t>
      </w:r>
      <w:r w:rsidRPr="00BC252F">
        <w:rPr>
          <w:rFonts w:ascii="Times New Roman" w:hAnsi="Times New Roman" w:cs="Times New Roman"/>
          <w:lang w:val="en-US"/>
        </w:rPr>
        <w:t xml:space="preserve"> in accordance with Article 162(2)(a) of the Convention.</w:t>
      </w:r>
    </w:p>
    <w:p w14:paraId="78012E31" w14:textId="77777777" w:rsidR="009670CF" w:rsidRDefault="009670CF" w:rsidP="009670CF">
      <w:pPr>
        <w:pStyle w:val="NoSpacing"/>
        <w:spacing w:line="276" w:lineRule="auto"/>
        <w:jc w:val="both"/>
        <w:rPr>
          <w:rFonts w:ascii="Times New Roman" w:hAnsi="Times New Roman" w:cs="Times New Roman"/>
          <w:lang w:val="en-US"/>
        </w:rPr>
      </w:pPr>
    </w:p>
    <w:p w14:paraId="225531A0" w14:textId="64C43A8A" w:rsidR="009670CF" w:rsidRDefault="009670CF" w:rsidP="009670CF">
      <w:pPr>
        <w:pStyle w:val="NoSpacing"/>
        <w:spacing w:line="276" w:lineRule="auto"/>
        <w:jc w:val="both"/>
        <w:rPr>
          <w:rFonts w:ascii="Times New Roman" w:hAnsi="Times New Roman" w:cs="Times New Roman"/>
          <w:lang w:val="en-US"/>
        </w:rPr>
      </w:pPr>
      <w:r>
        <w:rPr>
          <w:rFonts w:ascii="Times New Roman" w:hAnsi="Times New Roman" w:cs="Times New Roman"/>
          <w:lang w:val="en-US"/>
        </w:rPr>
        <w:t xml:space="preserve">2. </w:t>
      </w:r>
      <w:r w:rsidRPr="00AB0DA0">
        <w:rPr>
          <w:rFonts w:ascii="Times New Roman" w:hAnsi="Times New Roman" w:cs="Times New Roman"/>
          <w:lang w:val="en-US"/>
        </w:rPr>
        <w:t>Except for emergency orders under Article 162(2)(w)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p>
    <w:p w14:paraId="62BB568F" w14:textId="77777777" w:rsidR="00786A30" w:rsidRDefault="00786A30" w:rsidP="009670CF">
      <w:pPr>
        <w:pStyle w:val="NoSpacing"/>
        <w:spacing w:line="276" w:lineRule="auto"/>
        <w:jc w:val="both"/>
        <w:rPr>
          <w:rFonts w:ascii="Times New Roman" w:hAnsi="Times New Roman" w:cs="Times New Roman"/>
          <w:lang w:val="en-US"/>
        </w:rPr>
      </w:pPr>
    </w:p>
    <w:p w14:paraId="77DF1F02" w14:textId="62C02D9D" w:rsidR="00786A30" w:rsidRPr="00786A30" w:rsidRDefault="0056288D" w:rsidP="00786A30">
      <w:pPr>
        <w:pStyle w:val="NoSpacing"/>
        <w:spacing w:line="276" w:lineRule="auto"/>
        <w:jc w:val="both"/>
        <w:rPr>
          <w:rFonts w:ascii="Times New Roman" w:hAnsi="Times New Roman" w:cs="Times New Roman"/>
          <w:lang w:val="en-US"/>
        </w:rPr>
      </w:pPr>
      <w:r>
        <w:rPr>
          <w:rFonts w:ascii="Times New Roman" w:hAnsi="Times New Roman" w:cs="Times New Roman"/>
          <w:lang w:val="en-US"/>
        </w:rPr>
        <w:t>[</w:t>
      </w:r>
      <w:r w:rsidR="00786A30" w:rsidRPr="00786A30">
        <w:rPr>
          <w:rFonts w:ascii="Times New Roman" w:hAnsi="Times New Roman" w:cs="Times New Roman"/>
          <w:lang w:val="en-US"/>
        </w:rPr>
        <w:t>3. 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r>
        <w:rPr>
          <w:rFonts w:ascii="Times New Roman" w:hAnsi="Times New Roman" w:cs="Times New Roman"/>
          <w:lang w:val="en-US"/>
        </w:rPr>
        <w:t>]</w:t>
      </w:r>
    </w:p>
    <w:p w14:paraId="024DA5D2" w14:textId="77777777" w:rsidR="00786A30" w:rsidRDefault="00786A30" w:rsidP="009670CF">
      <w:pPr>
        <w:pStyle w:val="NoSpacing"/>
        <w:spacing w:line="276" w:lineRule="auto"/>
        <w:jc w:val="both"/>
        <w:rPr>
          <w:rFonts w:ascii="Times New Roman" w:hAnsi="Times New Roman" w:cs="Times New Roman"/>
          <w:lang w:val="en-US"/>
        </w:rPr>
      </w:pPr>
    </w:p>
    <w:p w14:paraId="7E5D0E73" w14:textId="77777777" w:rsidR="00D92A41" w:rsidRDefault="00D92A41" w:rsidP="00F84582">
      <w:pPr>
        <w:pStyle w:val="NoSpacing"/>
        <w:spacing w:line="276" w:lineRule="auto"/>
        <w:jc w:val="both"/>
        <w:rPr>
          <w:rFonts w:ascii="Times New Roman" w:hAnsi="Times New Roman" w:cs="Times New Roman"/>
          <w:lang w:val="en-US"/>
        </w:rPr>
      </w:pPr>
    </w:p>
    <w:p w14:paraId="4D9DE435" w14:textId="4F38AAEC" w:rsidR="00D92A41" w:rsidRDefault="00D92A41" w:rsidP="00D92A41">
      <w:pPr>
        <w:pStyle w:val="NoSpacing"/>
        <w:spacing w:line="276" w:lineRule="auto"/>
        <w:jc w:val="center"/>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ab/>
        <w:t>*</w:t>
      </w:r>
      <w:r>
        <w:rPr>
          <w:rFonts w:ascii="Times New Roman" w:hAnsi="Times New Roman" w:cs="Times New Roman"/>
          <w:lang w:val="en-US"/>
        </w:rPr>
        <w:tab/>
        <w:t>*</w:t>
      </w:r>
    </w:p>
    <w:p w14:paraId="53594BD0" w14:textId="77777777" w:rsidR="00F84582" w:rsidRPr="00F84582" w:rsidRDefault="00F84582" w:rsidP="00F84582">
      <w:pPr>
        <w:pStyle w:val="NoSpacing"/>
        <w:spacing w:line="276" w:lineRule="auto"/>
        <w:jc w:val="both"/>
        <w:rPr>
          <w:rFonts w:ascii="Times New Roman" w:hAnsi="Times New Roman" w:cs="Times New Roman"/>
          <w:lang w:val="en-US"/>
        </w:rPr>
      </w:pPr>
    </w:p>
    <w:p w14:paraId="25066350" w14:textId="52850134" w:rsidR="00F84582" w:rsidRDefault="00F84582" w:rsidP="00F84582">
      <w:pPr>
        <w:pStyle w:val="NoSpacing"/>
        <w:spacing w:line="276" w:lineRule="auto"/>
        <w:jc w:val="both"/>
        <w:rPr>
          <w:rFonts w:ascii="Times New Roman" w:hAnsi="Times New Roman" w:cs="Times New Roman"/>
          <w:lang w:val="en-US"/>
        </w:rPr>
      </w:pPr>
    </w:p>
    <w:p w14:paraId="07FCCECD" w14:textId="09183DE1" w:rsidR="006F4778" w:rsidRPr="00F84582" w:rsidRDefault="006F4778"/>
    <w:sectPr w:rsidR="006F4778" w:rsidRPr="00F8458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B076" w14:textId="77777777" w:rsidR="00093DF1" w:rsidRDefault="00093DF1" w:rsidP="00C244AD">
      <w:pPr>
        <w:spacing w:line="240" w:lineRule="auto"/>
      </w:pPr>
      <w:r>
        <w:separator/>
      </w:r>
    </w:p>
  </w:endnote>
  <w:endnote w:type="continuationSeparator" w:id="0">
    <w:p w14:paraId="25305CB7" w14:textId="77777777" w:rsidR="00093DF1" w:rsidRDefault="00093DF1" w:rsidP="00C24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244652"/>
      <w:docPartObj>
        <w:docPartGallery w:val="Page Numbers (Bottom of Page)"/>
        <w:docPartUnique/>
      </w:docPartObj>
    </w:sdtPr>
    <w:sdtEndPr>
      <w:rPr>
        <w:b/>
        <w:bCs/>
        <w:sz w:val="22"/>
        <w:szCs w:val="22"/>
      </w:rPr>
    </w:sdtEndPr>
    <w:sdtContent>
      <w:p w14:paraId="4BF60F72" w14:textId="092D3C86" w:rsidR="00596145" w:rsidRPr="00596145" w:rsidRDefault="00596145">
        <w:pPr>
          <w:pStyle w:val="Footer"/>
          <w:jc w:val="center"/>
          <w:rPr>
            <w:b/>
            <w:bCs/>
            <w:sz w:val="22"/>
            <w:szCs w:val="22"/>
          </w:rPr>
        </w:pPr>
        <w:r w:rsidRPr="00596145">
          <w:rPr>
            <w:b/>
            <w:bCs/>
            <w:sz w:val="22"/>
            <w:szCs w:val="22"/>
          </w:rPr>
          <w:fldChar w:fldCharType="begin"/>
        </w:r>
        <w:r w:rsidRPr="00596145">
          <w:rPr>
            <w:b/>
            <w:bCs/>
            <w:sz w:val="22"/>
            <w:szCs w:val="22"/>
          </w:rPr>
          <w:instrText>PAGE   \* MERGEFORMAT</w:instrText>
        </w:r>
        <w:r w:rsidRPr="00596145">
          <w:rPr>
            <w:b/>
            <w:bCs/>
            <w:sz w:val="22"/>
            <w:szCs w:val="22"/>
          </w:rPr>
          <w:fldChar w:fldCharType="separate"/>
        </w:r>
        <w:r w:rsidRPr="00596145">
          <w:rPr>
            <w:b/>
            <w:bCs/>
            <w:sz w:val="22"/>
            <w:szCs w:val="22"/>
            <w:lang w:val="nl-NL"/>
          </w:rPr>
          <w:t>2</w:t>
        </w:r>
        <w:r w:rsidRPr="00596145">
          <w:rPr>
            <w:b/>
            <w:bCs/>
            <w:sz w:val="22"/>
            <w:szCs w:val="22"/>
          </w:rPr>
          <w:fldChar w:fldCharType="end"/>
        </w:r>
      </w:p>
    </w:sdtContent>
  </w:sdt>
  <w:p w14:paraId="5AFB31DD" w14:textId="77777777" w:rsidR="00596145" w:rsidRDefault="0059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6294" w14:textId="77777777" w:rsidR="00093DF1" w:rsidRDefault="00093DF1" w:rsidP="00C244AD">
      <w:pPr>
        <w:spacing w:line="240" w:lineRule="auto"/>
      </w:pPr>
      <w:r>
        <w:separator/>
      </w:r>
    </w:p>
  </w:footnote>
  <w:footnote w:type="continuationSeparator" w:id="0">
    <w:p w14:paraId="179FE30D" w14:textId="77777777" w:rsidR="00093DF1" w:rsidRDefault="00093DF1" w:rsidP="00C244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C761" w14:textId="4D7483B0" w:rsidR="00C244AD" w:rsidRPr="00C244AD" w:rsidRDefault="005143CF">
    <w:pPr>
      <w:pStyle w:val="Header"/>
      <w:rPr>
        <w:b/>
        <w:bCs/>
        <w:sz w:val="22"/>
        <w:szCs w:val="22"/>
      </w:rPr>
    </w:pPr>
    <w:r>
      <w:rPr>
        <w:b/>
        <w:bCs/>
        <w:sz w:val="22"/>
        <w:szCs w:val="22"/>
      </w:rPr>
      <w:t>DRAFT</w:t>
    </w:r>
    <w:r w:rsidR="00FE0F13">
      <w:rPr>
        <w:b/>
        <w:bCs/>
        <w:sz w:val="22"/>
        <w:szCs w:val="22"/>
      </w:rPr>
      <w:t xml:space="preserve"> –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35E"/>
    <w:multiLevelType w:val="hybridMultilevel"/>
    <w:tmpl w:val="9702D6A2"/>
    <w:lvl w:ilvl="0" w:tplc="FFF8752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A7799D"/>
    <w:multiLevelType w:val="hybridMultilevel"/>
    <w:tmpl w:val="91108C0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6D8474B"/>
    <w:multiLevelType w:val="hybridMultilevel"/>
    <w:tmpl w:val="E99240F6"/>
    <w:lvl w:ilvl="0" w:tplc="05EA4A46">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D42A1E"/>
    <w:multiLevelType w:val="hybridMultilevel"/>
    <w:tmpl w:val="9702D6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B63C5"/>
    <w:multiLevelType w:val="hybridMultilevel"/>
    <w:tmpl w:val="A8706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51D3E"/>
    <w:multiLevelType w:val="hybridMultilevel"/>
    <w:tmpl w:val="15EC7FBE"/>
    <w:lvl w:ilvl="0" w:tplc="28081478">
      <w:start w:val="1"/>
      <w:numFmt w:val="bullet"/>
      <w:lvlText w:val=""/>
      <w:lvlJc w:val="left"/>
      <w:pPr>
        <w:ind w:left="1020" w:hanging="360"/>
      </w:pPr>
      <w:rPr>
        <w:rFonts w:ascii="Symbol" w:hAnsi="Symbol"/>
      </w:rPr>
    </w:lvl>
    <w:lvl w:ilvl="1" w:tplc="9DA2C310">
      <w:start w:val="1"/>
      <w:numFmt w:val="bullet"/>
      <w:lvlText w:val=""/>
      <w:lvlJc w:val="left"/>
      <w:pPr>
        <w:ind w:left="1020" w:hanging="360"/>
      </w:pPr>
      <w:rPr>
        <w:rFonts w:ascii="Symbol" w:hAnsi="Symbol"/>
      </w:rPr>
    </w:lvl>
    <w:lvl w:ilvl="2" w:tplc="E22674FE">
      <w:start w:val="1"/>
      <w:numFmt w:val="bullet"/>
      <w:lvlText w:val=""/>
      <w:lvlJc w:val="left"/>
      <w:pPr>
        <w:ind w:left="1020" w:hanging="360"/>
      </w:pPr>
      <w:rPr>
        <w:rFonts w:ascii="Symbol" w:hAnsi="Symbol"/>
      </w:rPr>
    </w:lvl>
    <w:lvl w:ilvl="3" w:tplc="94C49E22">
      <w:start w:val="1"/>
      <w:numFmt w:val="bullet"/>
      <w:lvlText w:val=""/>
      <w:lvlJc w:val="left"/>
      <w:pPr>
        <w:ind w:left="1020" w:hanging="360"/>
      </w:pPr>
      <w:rPr>
        <w:rFonts w:ascii="Symbol" w:hAnsi="Symbol"/>
      </w:rPr>
    </w:lvl>
    <w:lvl w:ilvl="4" w:tplc="F2E2896A">
      <w:start w:val="1"/>
      <w:numFmt w:val="bullet"/>
      <w:lvlText w:val=""/>
      <w:lvlJc w:val="left"/>
      <w:pPr>
        <w:ind w:left="1020" w:hanging="360"/>
      </w:pPr>
      <w:rPr>
        <w:rFonts w:ascii="Symbol" w:hAnsi="Symbol"/>
      </w:rPr>
    </w:lvl>
    <w:lvl w:ilvl="5" w:tplc="1B2E3D9A">
      <w:start w:val="1"/>
      <w:numFmt w:val="bullet"/>
      <w:lvlText w:val=""/>
      <w:lvlJc w:val="left"/>
      <w:pPr>
        <w:ind w:left="1020" w:hanging="360"/>
      </w:pPr>
      <w:rPr>
        <w:rFonts w:ascii="Symbol" w:hAnsi="Symbol"/>
      </w:rPr>
    </w:lvl>
    <w:lvl w:ilvl="6" w:tplc="A596056A">
      <w:start w:val="1"/>
      <w:numFmt w:val="bullet"/>
      <w:lvlText w:val=""/>
      <w:lvlJc w:val="left"/>
      <w:pPr>
        <w:ind w:left="1020" w:hanging="360"/>
      </w:pPr>
      <w:rPr>
        <w:rFonts w:ascii="Symbol" w:hAnsi="Symbol"/>
      </w:rPr>
    </w:lvl>
    <w:lvl w:ilvl="7" w:tplc="F5648E00">
      <w:start w:val="1"/>
      <w:numFmt w:val="bullet"/>
      <w:lvlText w:val=""/>
      <w:lvlJc w:val="left"/>
      <w:pPr>
        <w:ind w:left="1020" w:hanging="360"/>
      </w:pPr>
      <w:rPr>
        <w:rFonts w:ascii="Symbol" w:hAnsi="Symbol"/>
      </w:rPr>
    </w:lvl>
    <w:lvl w:ilvl="8" w:tplc="0784B18A">
      <w:start w:val="1"/>
      <w:numFmt w:val="bullet"/>
      <w:lvlText w:val=""/>
      <w:lvlJc w:val="left"/>
      <w:pPr>
        <w:ind w:left="1020" w:hanging="360"/>
      </w:pPr>
      <w:rPr>
        <w:rFonts w:ascii="Symbol" w:hAnsi="Symbol"/>
      </w:rPr>
    </w:lvl>
  </w:abstractNum>
  <w:abstractNum w:abstractNumId="6" w15:restartNumberingAfterBreak="0">
    <w:nsid w:val="124F2797"/>
    <w:multiLevelType w:val="hybridMultilevel"/>
    <w:tmpl w:val="23CEF8C8"/>
    <w:lvl w:ilvl="0" w:tplc="F9EA291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8C2617"/>
    <w:multiLevelType w:val="hybridMultilevel"/>
    <w:tmpl w:val="D8B073C6"/>
    <w:lvl w:ilvl="0" w:tplc="F850CB2A">
      <w:start w:val="1"/>
      <w:numFmt w:val="lowerLetter"/>
      <w:lvlText w:val="%1."/>
      <w:lvlJc w:val="left"/>
      <w:pPr>
        <w:ind w:left="1020" w:hanging="360"/>
      </w:pPr>
    </w:lvl>
    <w:lvl w:ilvl="1" w:tplc="B9CA00F4">
      <w:start w:val="1"/>
      <w:numFmt w:val="lowerLetter"/>
      <w:lvlText w:val="%2."/>
      <w:lvlJc w:val="left"/>
      <w:pPr>
        <w:ind w:left="1020" w:hanging="360"/>
      </w:pPr>
    </w:lvl>
    <w:lvl w:ilvl="2" w:tplc="F92CAAC6">
      <w:start w:val="1"/>
      <w:numFmt w:val="lowerLetter"/>
      <w:lvlText w:val="%3."/>
      <w:lvlJc w:val="left"/>
      <w:pPr>
        <w:ind w:left="1020" w:hanging="360"/>
      </w:pPr>
    </w:lvl>
    <w:lvl w:ilvl="3" w:tplc="DC123D28">
      <w:start w:val="1"/>
      <w:numFmt w:val="lowerLetter"/>
      <w:lvlText w:val="%4."/>
      <w:lvlJc w:val="left"/>
      <w:pPr>
        <w:ind w:left="1020" w:hanging="360"/>
      </w:pPr>
    </w:lvl>
    <w:lvl w:ilvl="4" w:tplc="A64C59DA">
      <w:start w:val="1"/>
      <w:numFmt w:val="lowerLetter"/>
      <w:lvlText w:val="%5."/>
      <w:lvlJc w:val="left"/>
      <w:pPr>
        <w:ind w:left="1020" w:hanging="360"/>
      </w:pPr>
    </w:lvl>
    <w:lvl w:ilvl="5" w:tplc="61789324">
      <w:start w:val="1"/>
      <w:numFmt w:val="lowerLetter"/>
      <w:lvlText w:val="%6."/>
      <w:lvlJc w:val="left"/>
      <w:pPr>
        <w:ind w:left="1020" w:hanging="360"/>
      </w:pPr>
    </w:lvl>
    <w:lvl w:ilvl="6" w:tplc="3754162E">
      <w:start w:val="1"/>
      <w:numFmt w:val="lowerLetter"/>
      <w:lvlText w:val="%7."/>
      <w:lvlJc w:val="left"/>
      <w:pPr>
        <w:ind w:left="1020" w:hanging="360"/>
      </w:pPr>
    </w:lvl>
    <w:lvl w:ilvl="7" w:tplc="3774B4F8">
      <w:start w:val="1"/>
      <w:numFmt w:val="lowerLetter"/>
      <w:lvlText w:val="%8."/>
      <w:lvlJc w:val="left"/>
      <w:pPr>
        <w:ind w:left="1020" w:hanging="360"/>
      </w:pPr>
    </w:lvl>
    <w:lvl w:ilvl="8" w:tplc="FDC4D076">
      <w:start w:val="1"/>
      <w:numFmt w:val="lowerLetter"/>
      <w:lvlText w:val="%9."/>
      <w:lvlJc w:val="left"/>
      <w:pPr>
        <w:ind w:left="1020" w:hanging="360"/>
      </w:pPr>
    </w:lvl>
  </w:abstractNum>
  <w:abstractNum w:abstractNumId="8" w15:restartNumberingAfterBreak="0">
    <w:nsid w:val="1A81079D"/>
    <w:multiLevelType w:val="hybridMultilevel"/>
    <w:tmpl w:val="64268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1205C6"/>
    <w:multiLevelType w:val="hybridMultilevel"/>
    <w:tmpl w:val="6F00E524"/>
    <w:lvl w:ilvl="0" w:tplc="7B783EFA">
      <w:start w:val="4"/>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2149DB"/>
    <w:multiLevelType w:val="hybridMultilevel"/>
    <w:tmpl w:val="59BE2452"/>
    <w:lvl w:ilvl="0" w:tplc="AC7CA8D4">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FD7DD6"/>
    <w:multiLevelType w:val="hybridMultilevel"/>
    <w:tmpl w:val="930832E4"/>
    <w:lvl w:ilvl="0" w:tplc="C34A7DEA">
      <w:start w:val="1"/>
      <w:numFmt w:val="lowerLetter"/>
      <w:lvlText w:val="%1."/>
      <w:lvlJc w:val="left"/>
      <w:pPr>
        <w:ind w:left="1020" w:hanging="360"/>
      </w:pPr>
    </w:lvl>
    <w:lvl w:ilvl="1" w:tplc="E0CA2EC6">
      <w:start w:val="1"/>
      <w:numFmt w:val="lowerLetter"/>
      <w:lvlText w:val="%2."/>
      <w:lvlJc w:val="left"/>
      <w:pPr>
        <w:ind w:left="1020" w:hanging="360"/>
      </w:pPr>
    </w:lvl>
    <w:lvl w:ilvl="2" w:tplc="A6684FDE">
      <w:start w:val="1"/>
      <w:numFmt w:val="lowerLetter"/>
      <w:lvlText w:val="%3."/>
      <w:lvlJc w:val="left"/>
      <w:pPr>
        <w:ind w:left="1020" w:hanging="360"/>
      </w:pPr>
    </w:lvl>
    <w:lvl w:ilvl="3" w:tplc="46129504">
      <w:start w:val="1"/>
      <w:numFmt w:val="lowerLetter"/>
      <w:lvlText w:val="%4."/>
      <w:lvlJc w:val="left"/>
      <w:pPr>
        <w:ind w:left="1020" w:hanging="360"/>
      </w:pPr>
    </w:lvl>
    <w:lvl w:ilvl="4" w:tplc="253481DC">
      <w:start w:val="1"/>
      <w:numFmt w:val="lowerLetter"/>
      <w:lvlText w:val="%5."/>
      <w:lvlJc w:val="left"/>
      <w:pPr>
        <w:ind w:left="1020" w:hanging="360"/>
      </w:pPr>
    </w:lvl>
    <w:lvl w:ilvl="5" w:tplc="59884A80">
      <w:start w:val="1"/>
      <w:numFmt w:val="lowerLetter"/>
      <w:lvlText w:val="%6."/>
      <w:lvlJc w:val="left"/>
      <w:pPr>
        <w:ind w:left="1020" w:hanging="360"/>
      </w:pPr>
    </w:lvl>
    <w:lvl w:ilvl="6" w:tplc="91200404">
      <w:start w:val="1"/>
      <w:numFmt w:val="lowerLetter"/>
      <w:lvlText w:val="%7."/>
      <w:lvlJc w:val="left"/>
      <w:pPr>
        <w:ind w:left="1020" w:hanging="360"/>
      </w:pPr>
    </w:lvl>
    <w:lvl w:ilvl="7" w:tplc="50F8BC8A">
      <w:start w:val="1"/>
      <w:numFmt w:val="lowerLetter"/>
      <w:lvlText w:val="%8."/>
      <w:lvlJc w:val="left"/>
      <w:pPr>
        <w:ind w:left="1020" w:hanging="360"/>
      </w:pPr>
    </w:lvl>
    <w:lvl w:ilvl="8" w:tplc="72523012">
      <w:start w:val="1"/>
      <w:numFmt w:val="lowerLetter"/>
      <w:lvlText w:val="%9."/>
      <w:lvlJc w:val="left"/>
      <w:pPr>
        <w:ind w:left="1020" w:hanging="360"/>
      </w:pPr>
    </w:lvl>
  </w:abstractNum>
  <w:abstractNum w:abstractNumId="12" w15:restartNumberingAfterBreak="0">
    <w:nsid w:val="31860C35"/>
    <w:multiLevelType w:val="hybridMultilevel"/>
    <w:tmpl w:val="FA2AE5D8"/>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3" w15:restartNumberingAfterBreak="0">
    <w:nsid w:val="31FC3D3A"/>
    <w:multiLevelType w:val="hybridMultilevel"/>
    <w:tmpl w:val="2C6CAAC4"/>
    <w:lvl w:ilvl="0" w:tplc="0413001B">
      <w:start w:val="1"/>
      <w:numFmt w:val="lowerRoman"/>
      <w:lvlText w:val="%1."/>
      <w:lvlJc w:val="righ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4" w15:restartNumberingAfterBreak="0">
    <w:nsid w:val="385E1E68"/>
    <w:multiLevelType w:val="hybridMultilevel"/>
    <w:tmpl w:val="3E00F7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EF31FF"/>
    <w:multiLevelType w:val="hybridMultilevel"/>
    <w:tmpl w:val="4E322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09E"/>
    <w:multiLevelType w:val="hybridMultilevel"/>
    <w:tmpl w:val="C2F6CDC4"/>
    <w:lvl w:ilvl="0" w:tplc="B95EE41C">
      <w:start w:val="1"/>
      <w:numFmt w:val="lowerRoman"/>
      <w:lvlText w:val="(%1)"/>
      <w:lvlJc w:val="left"/>
      <w:pPr>
        <w:ind w:left="1500" w:hanging="720"/>
      </w:pPr>
      <w:rPr>
        <w:rFonts w:hint="default"/>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7" w15:restartNumberingAfterBreak="0">
    <w:nsid w:val="4D561126"/>
    <w:multiLevelType w:val="hybridMultilevel"/>
    <w:tmpl w:val="F190D29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736B93"/>
    <w:multiLevelType w:val="hybridMultilevel"/>
    <w:tmpl w:val="4E322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DA521A"/>
    <w:multiLevelType w:val="hybridMultilevel"/>
    <w:tmpl w:val="4E322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E753D2"/>
    <w:multiLevelType w:val="hybridMultilevel"/>
    <w:tmpl w:val="04103E48"/>
    <w:lvl w:ilvl="0" w:tplc="951E19A4">
      <w:start w:val="1"/>
      <w:numFmt w:val="lowerLetter"/>
      <w:lvlText w:val="(%1)"/>
      <w:lvlJc w:val="left"/>
      <w:pPr>
        <w:ind w:left="780" w:hanging="360"/>
      </w:pPr>
      <w:rPr>
        <w:rFonts w:hint="default"/>
      </w:r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1" w15:restartNumberingAfterBreak="0">
    <w:nsid w:val="5BD5389D"/>
    <w:multiLevelType w:val="hybridMultilevel"/>
    <w:tmpl w:val="9702D6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5C0E7D"/>
    <w:multiLevelType w:val="hybridMultilevel"/>
    <w:tmpl w:val="80023290"/>
    <w:lvl w:ilvl="0" w:tplc="C1F0A89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DF6291"/>
    <w:multiLevelType w:val="hybridMultilevel"/>
    <w:tmpl w:val="92344A9C"/>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764CD9"/>
    <w:multiLevelType w:val="hybridMultilevel"/>
    <w:tmpl w:val="04103E48"/>
    <w:lvl w:ilvl="0" w:tplc="FFFFFFFF">
      <w:start w:val="1"/>
      <w:numFmt w:val="low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5" w15:restartNumberingAfterBreak="0">
    <w:nsid w:val="6BE62EC3"/>
    <w:multiLevelType w:val="hybridMultilevel"/>
    <w:tmpl w:val="04103E48"/>
    <w:lvl w:ilvl="0" w:tplc="FFFFFFFF">
      <w:start w:val="1"/>
      <w:numFmt w:val="lowerLetter"/>
      <w:lvlText w:val="(%1)"/>
      <w:lvlJc w:val="left"/>
      <w:pPr>
        <w:ind w:left="780" w:hanging="360"/>
      </w:pPr>
      <w:rPr>
        <w:rFonts w:hint="default"/>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6" w15:restartNumberingAfterBreak="0">
    <w:nsid w:val="70D5773E"/>
    <w:multiLevelType w:val="hybridMultilevel"/>
    <w:tmpl w:val="4E3222A2"/>
    <w:lvl w:ilvl="0" w:tplc="B71A163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0A298E"/>
    <w:multiLevelType w:val="hybridMultilevel"/>
    <w:tmpl w:val="4EFCB018"/>
    <w:lvl w:ilvl="0" w:tplc="0413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33049C0"/>
    <w:multiLevelType w:val="hybridMultilevel"/>
    <w:tmpl w:val="9702D6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594CCC"/>
    <w:multiLevelType w:val="hybridMultilevel"/>
    <w:tmpl w:val="C2F6CDC4"/>
    <w:lvl w:ilvl="0" w:tplc="FFFFFFFF">
      <w:start w:val="1"/>
      <w:numFmt w:val="lowerRoman"/>
      <w:lvlText w:val="(%1)"/>
      <w:lvlJc w:val="left"/>
      <w:pPr>
        <w:ind w:left="1500" w:hanging="72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num w:numId="1" w16cid:durableId="1121530988">
    <w:abstractNumId w:val="26"/>
  </w:num>
  <w:num w:numId="2" w16cid:durableId="869412242">
    <w:abstractNumId w:val="15"/>
  </w:num>
  <w:num w:numId="3" w16cid:durableId="2121682621">
    <w:abstractNumId w:val="19"/>
  </w:num>
  <w:num w:numId="4" w16cid:durableId="1725064003">
    <w:abstractNumId w:val="23"/>
  </w:num>
  <w:num w:numId="5" w16cid:durableId="872302895">
    <w:abstractNumId w:val="10"/>
  </w:num>
  <w:num w:numId="6" w16cid:durableId="634913143">
    <w:abstractNumId w:val="18"/>
  </w:num>
  <w:num w:numId="7" w16cid:durableId="1731810138">
    <w:abstractNumId w:val="6"/>
  </w:num>
  <w:num w:numId="8" w16cid:durableId="1198549167">
    <w:abstractNumId w:val="20"/>
  </w:num>
  <w:num w:numId="9" w16cid:durableId="2076663917">
    <w:abstractNumId w:val="0"/>
  </w:num>
  <w:num w:numId="10" w16cid:durableId="276450780">
    <w:abstractNumId w:val="21"/>
  </w:num>
  <w:num w:numId="11" w16cid:durableId="1142769233">
    <w:abstractNumId w:val="16"/>
  </w:num>
  <w:num w:numId="12" w16cid:durableId="1937706818">
    <w:abstractNumId w:val="3"/>
  </w:num>
  <w:num w:numId="13" w16cid:durableId="1457602194">
    <w:abstractNumId w:val="24"/>
  </w:num>
  <w:num w:numId="14" w16cid:durableId="1369724785">
    <w:abstractNumId w:val="22"/>
  </w:num>
  <w:num w:numId="15" w16cid:durableId="363333420">
    <w:abstractNumId w:val="28"/>
  </w:num>
  <w:num w:numId="16" w16cid:durableId="1494178809">
    <w:abstractNumId w:val="27"/>
  </w:num>
  <w:num w:numId="17" w16cid:durableId="398212904">
    <w:abstractNumId w:val="13"/>
  </w:num>
  <w:num w:numId="18" w16cid:durableId="100955253">
    <w:abstractNumId w:val="1"/>
  </w:num>
  <w:num w:numId="19" w16cid:durableId="820121497">
    <w:abstractNumId w:val="14"/>
  </w:num>
  <w:num w:numId="20" w16cid:durableId="900601959">
    <w:abstractNumId w:val="5"/>
  </w:num>
  <w:num w:numId="21" w16cid:durableId="1563711872">
    <w:abstractNumId w:val="7"/>
  </w:num>
  <w:num w:numId="22" w16cid:durableId="1203515298">
    <w:abstractNumId w:val="11"/>
  </w:num>
  <w:num w:numId="23" w16cid:durableId="503204644">
    <w:abstractNumId w:val="17"/>
  </w:num>
  <w:num w:numId="24" w16cid:durableId="2106922959">
    <w:abstractNumId w:val="2"/>
  </w:num>
  <w:num w:numId="25" w16cid:durableId="1048073489">
    <w:abstractNumId w:val="8"/>
  </w:num>
  <w:num w:numId="26" w16cid:durableId="1632052504">
    <w:abstractNumId w:val="12"/>
  </w:num>
  <w:num w:numId="27" w16cid:durableId="1296913578">
    <w:abstractNumId w:val="9"/>
  </w:num>
  <w:num w:numId="28" w16cid:durableId="2145349218">
    <w:abstractNumId w:val="29"/>
  </w:num>
  <w:num w:numId="29" w16cid:durableId="1028605337">
    <w:abstractNumId w:val="25"/>
  </w:num>
  <w:num w:numId="30" w16cid:durableId="2007399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EA"/>
    <w:rsid w:val="00006727"/>
    <w:rsid w:val="0004796A"/>
    <w:rsid w:val="00090135"/>
    <w:rsid w:val="00093DF1"/>
    <w:rsid w:val="000C1D40"/>
    <w:rsid w:val="000F5B80"/>
    <w:rsid w:val="0010407C"/>
    <w:rsid w:val="00113C9B"/>
    <w:rsid w:val="00177457"/>
    <w:rsid w:val="001969F8"/>
    <w:rsid w:val="001B5344"/>
    <w:rsid w:val="001D2C69"/>
    <w:rsid w:val="001E3F02"/>
    <w:rsid w:val="002067D0"/>
    <w:rsid w:val="002107DF"/>
    <w:rsid w:val="002110F7"/>
    <w:rsid w:val="002A6813"/>
    <w:rsid w:val="003346AA"/>
    <w:rsid w:val="003423A2"/>
    <w:rsid w:val="00344F78"/>
    <w:rsid w:val="0035112B"/>
    <w:rsid w:val="00384C3A"/>
    <w:rsid w:val="00397F97"/>
    <w:rsid w:val="003E3266"/>
    <w:rsid w:val="00406393"/>
    <w:rsid w:val="004146A3"/>
    <w:rsid w:val="0041505B"/>
    <w:rsid w:val="0042216A"/>
    <w:rsid w:val="00431196"/>
    <w:rsid w:val="0043294C"/>
    <w:rsid w:val="0046478C"/>
    <w:rsid w:val="00483777"/>
    <w:rsid w:val="004C5C60"/>
    <w:rsid w:val="004C6619"/>
    <w:rsid w:val="004E1887"/>
    <w:rsid w:val="004E417A"/>
    <w:rsid w:val="005143CF"/>
    <w:rsid w:val="00527333"/>
    <w:rsid w:val="0053342C"/>
    <w:rsid w:val="0054408A"/>
    <w:rsid w:val="0056288D"/>
    <w:rsid w:val="005743AF"/>
    <w:rsid w:val="00582706"/>
    <w:rsid w:val="00596145"/>
    <w:rsid w:val="006310EA"/>
    <w:rsid w:val="00657A53"/>
    <w:rsid w:val="006A1624"/>
    <w:rsid w:val="006B0371"/>
    <w:rsid w:val="006B444F"/>
    <w:rsid w:val="006B7549"/>
    <w:rsid w:val="006E2D1F"/>
    <w:rsid w:val="006E6BC8"/>
    <w:rsid w:val="006F4192"/>
    <w:rsid w:val="006F4778"/>
    <w:rsid w:val="00711857"/>
    <w:rsid w:val="00785E89"/>
    <w:rsid w:val="00786A30"/>
    <w:rsid w:val="007D4F60"/>
    <w:rsid w:val="007F1294"/>
    <w:rsid w:val="007F63C1"/>
    <w:rsid w:val="00804C82"/>
    <w:rsid w:val="00811A7D"/>
    <w:rsid w:val="00845577"/>
    <w:rsid w:val="00855DD9"/>
    <w:rsid w:val="0086571C"/>
    <w:rsid w:val="00866495"/>
    <w:rsid w:val="00870F7B"/>
    <w:rsid w:val="00895630"/>
    <w:rsid w:val="008C4997"/>
    <w:rsid w:val="008D6789"/>
    <w:rsid w:val="008E17E8"/>
    <w:rsid w:val="008E3521"/>
    <w:rsid w:val="00931F26"/>
    <w:rsid w:val="009670CF"/>
    <w:rsid w:val="00977358"/>
    <w:rsid w:val="009D60FB"/>
    <w:rsid w:val="009D64DC"/>
    <w:rsid w:val="009F2993"/>
    <w:rsid w:val="00A20E44"/>
    <w:rsid w:val="00A26663"/>
    <w:rsid w:val="00A279DB"/>
    <w:rsid w:val="00A3715F"/>
    <w:rsid w:val="00A808FB"/>
    <w:rsid w:val="00AB0DA0"/>
    <w:rsid w:val="00AB146A"/>
    <w:rsid w:val="00AB30E0"/>
    <w:rsid w:val="00AC665B"/>
    <w:rsid w:val="00AE0ED6"/>
    <w:rsid w:val="00B14C09"/>
    <w:rsid w:val="00B31CFA"/>
    <w:rsid w:val="00BB6679"/>
    <w:rsid w:val="00BC1333"/>
    <w:rsid w:val="00BC252F"/>
    <w:rsid w:val="00BD01D8"/>
    <w:rsid w:val="00BD3369"/>
    <w:rsid w:val="00C16A8A"/>
    <w:rsid w:val="00C244AD"/>
    <w:rsid w:val="00C6380A"/>
    <w:rsid w:val="00C748A3"/>
    <w:rsid w:val="00CA737D"/>
    <w:rsid w:val="00CB2672"/>
    <w:rsid w:val="00CB7E04"/>
    <w:rsid w:val="00CD5BE6"/>
    <w:rsid w:val="00CE2043"/>
    <w:rsid w:val="00CF5343"/>
    <w:rsid w:val="00D16DB4"/>
    <w:rsid w:val="00D427CA"/>
    <w:rsid w:val="00D44CF9"/>
    <w:rsid w:val="00D57F18"/>
    <w:rsid w:val="00D64F47"/>
    <w:rsid w:val="00D92A41"/>
    <w:rsid w:val="00DA2BC8"/>
    <w:rsid w:val="00DA2E82"/>
    <w:rsid w:val="00DA5FC8"/>
    <w:rsid w:val="00DF3557"/>
    <w:rsid w:val="00E060AA"/>
    <w:rsid w:val="00E25F81"/>
    <w:rsid w:val="00E92946"/>
    <w:rsid w:val="00E94CD7"/>
    <w:rsid w:val="00EA1EFC"/>
    <w:rsid w:val="00EB5FE7"/>
    <w:rsid w:val="00EC1C44"/>
    <w:rsid w:val="00EC66A4"/>
    <w:rsid w:val="00ED6043"/>
    <w:rsid w:val="00EE100C"/>
    <w:rsid w:val="00F20773"/>
    <w:rsid w:val="00F419DB"/>
    <w:rsid w:val="00F56323"/>
    <w:rsid w:val="00F71A0A"/>
    <w:rsid w:val="00F84582"/>
    <w:rsid w:val="00FA41F6"/>
    <w:rsid w:val="00FE0F13"/>
    <w:rsid w:val="00FE173D"/>
    <w:rsid w:val="00FE207C"/>
    <w:rsid w:val="00FF1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2C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93"/>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00631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0EA"/>
    <w:rPr>
      <w:rFonts w:eastAsiaTheme="majorEastAsia" w:cstheme="majorBidi"/>
      <w:color w:val="272727" w:themeColor="text1" w:themeTint="D8"/>
    </w:rPr>
  </w:style>
  <w:style w:type="paragraph" w:styleId="Title">
    <w:name w:val="Title"/>
    <w:basedOn w:val="Normal"/>
    <w:next w:val="Normal"/>
    <w:link w:val="TitleChar"/>
    <w:uiPriority w:val="10"/>
    <w:qFormat/>
    <w:rsid w:val="00631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0EA"/>
    <w:pPr>
      <w:spacing w:before="160"/>
      <w:jc w:val="center"/>
    </w:pPr>
    <w:rPr>
      <w:i/>
      <w:iCs/>
      <w:color w:val="404040" w:themeColor="text1" w:themeTint="BF"/>
    </w:rPr>
  </w:style>
  <w:style w:type="character" w:customStyle="1" w:styleId="QuoteChar">
    <w:name w:val="Quote Char"/>
    <w:basedOn w:val="DefaultParagraphFont"/>
    <w:link w:val="Quote"/>
    <w:uiPriority w:val="29"/>
    <w:rsid w:val="006310EA"/>
    <w:rPr>
      <w:i/>
      <w:iCs/>
      <w:color w:val="404040" w:themeColor="text1" w:themeTint="BF"/>
    </w:rPr>
  </w:style>
  <w:style w:type="paragraph" w:styleId="ListParagraph">
    <w:name w:val="List Paragraph"/>
    <w:basedOn w:val="Normal"/>
    <w:uiPriority w:val="34"/>
    <w:qFormat/>
    <w:rsid w:val="006310EA"/>
    <w:pPr>
      <w:ind w:left="720"/>
      <w:contextualSpacing/>
    </w:pPr>
  </w:style>
  <w:style w:type="character" w:styleId="IntenseEmphasis">
    <w:name w:val="Intense Emphasis"/>
    <w:basedOn w:val="DefaultParagraphFont"/>
    <w:uiPriority w:val="21"/>
    <w:qFormat/>
    <w:rsid w:val="006310EA"/>
    <w:rPr>
      <w:i/>
      <w:iCs/>
      <w:color w:val="0F4761" w:themeColor="accent1" w:themeShade="BF"/>
    </w:rPr>
  </w:style>
  <w:style w:type="paragraph" w:styleId="IntenseQuote">
    <w:name w:val="Intense Quote"/>
    <w:basedOn w:val="Normal"/>
    <w:next w:val="Normal"/>
    <w:link w:val="IntenseQuoteChar"/>
    <w:uiPriority w:val="30"/>
    <w:qFormat/>
    <w:rsid w:val="00631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0EA"/>
    <w:rPr>
      <w:i/>
      <w:iCs/>
      <w:color w:val="0F4761" w:themeColor="accent1" w:themeShade="BF"/>
    </w:rPr>
  </w:style>
  <w:style w:type="character" w:styleId="IntenseReference">
    <w:name w:val="Intense Reference"/>
    <w:basedOn w:val="DefaultParagraphFont"/>
    <w:uiPriority w:val="32"/>
    <w:qFormat/>
    <w:rsid w:val="006310EA"/>
    <w:rPr>
      <w:b/>
      <w:bCs/>
      <w:smallCaps/>
      <w:color w:val="0F4761" w:themeColor="accent1" w:themeShade="BF"/>
      <w:spacing w:val="5"/>
    </w:rPr>
  </w:style>
  <w:style w:type="paragraph" w:styleId="NoSpacing">
    <w:name w:val="No Spacing"/>
    <w:uiPriority w:val="1"/>
    <w:qFormat/>
    <w:rsid w:val="006310EA"/>
    <w:pPr>
      <w:spacing w:after="0" w:line="240" w:lineRule="auto"/>
    </w:pPr>
    <w:rPr>
      <w:sz w:val="22"/>
      <w:szCs w:val="22"/>
    </w:rPr>
  </w:style>
  <w:style w:type="character" w:styleId="CommentReference">
    <w:name w:val="annotation reference"/>
    <w:basedOn w:val="DefaultParagraphFont"/>
    <w:uiPriority w:val="99"/>
    <w:semiHidden/>
    <w:unhideWhenUsed/>
    <w:rsid w:val="003346AA"/>
    <w:rPr>
      <w:sz w:val="16"/>
      <w:szCs w:val="16"/>
    </w:rPr>
  </w:style>
  <w:style w:type="paragraph" w:styleId="CommentText">
    <w:name w:val="annotation text"/>
    <w:basedOn w:val="Normal"/>
    <w:link w:val="CommentTextChar"/>
    <w:uiPriority w:val="99"/>
    <w:unhideWhenUsed/>
    <w:rsid w:val="003346AA"/>
    <w:pPr>
      <w:spacing w:line="240" w:lineRule="auto"/>
    </w:pPr>
  </w:style>
  <w:style w:type="character" w:customStyle="1" w:styleId="CommentTextChar">
    <w:name w:val="Comment Text Char"/>
    <w:basedOn w:val="DefaultParagraphFont"/>
    <w:link w:val="CommentText"/>
    <w:uiPriority w:val="99"/>
    <w:rsid w:val="003346AA"/>
    <w:rPr>
      <w:sz w:val="20"/>
      <w:szCs w:val="20"/>
    </w:rPr>
  </w:style>
  <w:style w:type="paragraph" w:styleId="CommentSubject">
    <w:name w:val="annotation subject"/>
    <w:basedOn w:val="CommentText"/>
    <w:next w:val="CommentText"/>
    <w:link w:val="CommentSubjectChar"/>
    <w:uiPriority w:val="99"/>
    <w:semiHidden/>
    <w:unhideWhenUsed/>
    <w:rsid w:val="003346AA"/>
    <w:rPr>
      <w:b/>
      <w:bCs/>
    </w:rPr>
  </w:style>
  <w:style w:type="character" w:customStyle="1" w:styleId="CommentSubjectChar">
    <w:name w:val="Comment Subject Char"/>
    <w:basedOn w:val="CommentTextChar"/>
    <w:link w:val="CommentSubject"/>
    <w:uiPriority w:val="99"/>
    <w:semiHidden/>
    <w:rsid w:val="003346AA"/>
    <w:rPr>
      <w:b/>
      <w:bCs/>
      <w:sz w:val="20"/>
      <w:szCs w:val="20"/>
    </w:rPr>
  </w:style>
  <w:style w:type="paragraph" w:styleId="Revision">
    <w:name w:val="Revision"/>
    <w:hidden/>
    <w:uiPriority w:val="99"/>
    <w:semiHidden/>
    <w:rsid w:val="00855DD9"/>
    <w:pPr>
      <w:spacing w:after="0" w:line="240" w:lineRule="auto"/>
    </w:pPr>
    <w:rPr>
      <w:rFonts w:ascii="Times New Roman" w:hAnsi="Times New Roman" w:cs="Times New Roman"/>
      <w:spacing w:val="4"/>
      <w:w w:val="103"/>
      <w:kern w:val="14"/>
      <w:sz w:val="20"/>
      <w:szCs w:val="20"/>
      <w:lang w:val="en-TT"/>
      <w14:ligatures w14:val="none"/>
    </w:rPr>
  </w:style>
  <w:style w:type="paragraph" w:customStyle="1" w:styleId="SingleTxt">
    <w:name w:val="__Single Txt"/>
    <w:basedOn w:val="Normal"/>
    <w:uiPriority w:val="1"/>
    <w:rsid w:val="00CB267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styleId="Header">
    <w:name w:val="header"/>
    <w:basedOn w:val="Normal"/>
    <w:link w:val="HeaderChar"/>
    <w:uiPriority w:val="99"/>
    <w:unhideWhenUsed/>
    <w:rsid w:val="00C244AD"/>
    <w:pPr>
      <w:tabs>
        <w:tab w:val="center" w:pos="4513"/>
        <w:tab w:val="right" w:pos="9026"/>
      </w:tabs>
      <w:spacing w:line="240" w:lineRule="auto"/>
    </w:pPr>
  </w:style>
  <w:style w:type="character" w:customStyle="1" w:styleId="HeaderChar">
    <w:name w:val="Header Char"/>
    <w:basedOn w:val="DefaultParagraphFont"/>
    <w:link w:val="Header"/>
    <w:uiPriority w:val="99"/>
    <w:rsid w:val="00C244AD"/>
    <w:rPr>
      <w:rFonts w:ascii="Times New Roman" w:hAnsi="Times New Roman" w:cs="Times New Roman"/>
      <w:spacing w:val="4"/>
      <w:w w:val="103"/>
      <w:kern w:val="14"/>
      <w:sz w:val="20"/>
      <w:szCs w:val="20"/>
      <w:lang w:val="en-TT"/>
      <w14:ligatures w14:val="none"/>
    </w:rPr>
  </w:style>
  <w:style w:type="paragraph" w:styleId="Footer">
    <w:name w:val="footer"/>
    <w:basedOn w:val="Normal"/>
    <w:link w:val="FooterChar"/>
    <w:uiPriority w:val="99"/>
    <w:unhideWhenUsed/>
    <w:rsid w:val="00C244AD"/>
    <w:pPr>
      <w:tabs>
        <w:tab w:val="center" w:pos="4513"/>
        <w:tab w:val="right" w:pos="9026"/>
      </w:tabs>
      <w:spacing w:line="240" w:lineRule="auto"/>
    </w:pPr>
  </w:style>
  <w:style w:type="character" w:customStyle="1" w:styleId="FooterChar">
    <w:name w:val="Footer Char"/>
    <w:basedOn w:val="DefaultParagraphFont"/>
    <w:link w:val="Footer"/>
    <w:uiPriority w:val="99"/>
    <w:rsid w:val="00C244AD"/>
    <w:rPr>
      <w:rFonts w:ascii="Times New Roman" w:hAnsi="Times New Roman" w:cs="Times New Roman"/>
      <w:spacing w:val="4"/>
      <w:w w:val="103"/>
      <w:kern w:val="14"/>
      <w:sz w:val="20"/>
      <w:szCs w:val="20"/>
      <w:lang w:val="en-T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990">
      <w:bodyDiv w:val="1"/>
      <w:marLeft w:val="0"/>
      <w:marRight w:val="0"/>
      <w:marTop w:val="0"/>
      <w:marBottom w:val="0"/>
      <w:divBdr>
        <w:top w:val="none" w:sz="0" w:space="0" w:color="auto"/>
        <w:left w:val="none" w:sz="0" w:space="0" w:color="auto"/>
        <w:bottom w:val="none" w:sz="0" w:space="0" w:color="auto"/>
        <w:right w:val="none" w:sz="0" w:space="0" w:color="auto"/>
      </w:divBdr>
    </w:div>
    <w:div w:id="13193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162C-C0B9-49FD-9723-9D9DD7AF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7252</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2025-11-26T12:54:00Z</dcterms:created>
  <dcterms:modified xsi:type="dcterms:W3CDTF">2025-11-26T14:04:00Z</dcterms:modified>
</cp:coreProperties>
</file>