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200CB" w14:textId="6AFC880C" w:rsidR="00B41B4C" w:rsidRDefault="008D6B46">
      <w:pPr>
        <w:pStyle w:val="BodyText"/>
        <w:spacing w:before="76"/>
      </w:pPr>
      <w:proofErr w:type="spellStart"/>
      <w:r>
        <w:t>Mr</w:t>
      </w:r>
      <w:proofErr w:type="spellEnd"/>
      <w:r>
        <w:rPr>
          <w:spacing w:val="-1"/>
        </w:rPr>
        <w:t xml:space="preserve"> </w:t>
      </w:r>
      <w:r>
        <w:rPr>
          <w:spacing w:val="-2"/>
        </w:rPr>
        <w:t>President,</w:t>
      </w:r>
    </w:p>
    <w:p w14:paraId="3A656761" w14:textId="77777777" w:rsidR="00B41B4C" w:rsidRDefault="00B41B4C">
      <w:pPr>
        <w:pStyle w:val="BodyText"/>
        <w:spacing w:before="46"/>
        <w:ind w:left="0"/>
      </w:pPr>
    </w:p>
    <w:p w14:paraId="5F3BC2FD" w14:textId="77777777" w:rsidR="00B41B4C" w:rsidRDefault="008D6B46">
      <w:pPr>
        <w:pStyle w:val="BodyText"/>
        <w:spacing w:line="278" w:lineRule="auto"/>
        <w:ind w:right="142"/>
        <w:jc w:val="both"/>
      </w:pPr>
      <w:r>
        <w:t>I</w:t>
      </w:r>
      <w:r>
        <w:rPr>
          <w:spacing w:val="-4"/>
        </w:rPr>
        <w:t xml:space="preserve"> </w:t>
      </w:r>
      <w:r>
        <w:t>thank</w:t>
      </w:r>
      <w:r>
        <w:rPr>
          <w:spacing w:val="-1"/>
        </w:rPr>
        <w:t xml:space="preserve"> </w:t>
      </w:r>
      <w:r>
        <w:t>Madam</w:t>
      </w:r>
      <w:r>
        <w:rPr>
          <w:spacing w:val="-1"/>
        </w:rPr>
        <w:t xml:space="preserve"> </w:t>
      </w:r>
      <w:r>
        <w:t>Secretary-General</w:t>
      </w:r>
      <w:r>
        <w:rPr>
          <w:spacing w:val="-1"/>
        </w:rPr>
        <w:t xml:space="preserve"> </w:t>
      </w:r>
      <w:r>
        <w:t>for</w:t>
      </w:r>
      <w:r>
        <w:rPr>
          <w:spacing w:val="-2"/>
        </w:rPr>
        <w:t xml:space="preserve"> </w:t>
      </w:r>
      <w:r>
        <w:t>her</w:t>
      </w:r>
      <w:r>
        <w:rPr>
          <w:spacing w:val="-2"/>
        </w:rPr>
        <w:t xml:space="preserve"> </w:t>
      </w:r>
      <w:r>
        <w:t>comprehensive</w:t>
      </w:r>
      <w:r>
        <w:rPr>
          <w:spacing w:val="-2"/>
        </w:rPr>
        <w:t xml:space="preserve"> </w:t>
      </w:r>
      <w:r>
        <w:t>annual</w:t>
      </w:r>
      <w:r>
        <w:rPr>
          <w:spacing w:val="-1"/>
        </w:rPr>
        <w:t xml:space="preserve"> </w:t>
      </w:r>
      <w:r>
        <w:t>report</w:t>
      </w:r>
      <w:r>
        <w:rPr>
          <w:spacing w:val="-1"/>
        </w:rPr>
        <w:t xml:space="preserve"> </w:t>
      </w:r>
      <w:r>
        <w:t>and for</w:t>
      </w:r>
      <w:r>
        <w:rPr>
          <w:spacing w:val="-2"/>
        </w:rPr>
        <w:t xml:space="preserve"> </w:t>
      </w:r>
      <w:r>
        <w:t>the</w:t>
      </w:r>
      <w:r>
        <w:rPr>
          <w:spacing w:val="-2"/>
        </w:rPr>
        <w:t xml:space="preserve"> </w:t>
      </w:r>
      <w:r>
        <w:t>work carried out by the Secretariat over the past year.</w:t>
      </w:r>
    </w:p>
    <w:p w14:paraId="12B43A15" w14:textId="0CB87ADB" w:rsidR="00B41B4C" w:rsidRDefault="008D6B46">
      <w:pPr>
        <w:pStyle w:val="BodyText"/>
        <w:spacing w:before="274" w:line="276" w:lineRule="auto"/>
        <w:ind w:right="139"/>
        <w:jc w:val="both"/>
      </w:pPr>
      <w:r>
        <w:rPr>
          <w:noProof/>
        </w:rPr>
        <mc:AlternateContent>
          <mc:Choice Requires="wps">
            <w:drawing>
              <wp:anchor distT="0" distB="0" distL="0" distR="0" simplePos="0" relativeHeight="487553536" behindDoc="1" locked="0" layoutInCell="1" allowOverlap="1" wp14:anchorId="4CA9B696" wp14:editId="62413769">
                <wp:simplePos x="0" y="0"/>
                <wp:positionH relativeFrom="page">
                  <wp:posOffset>3028188</wp:posOffset>
                </wp:positionH>
                <wp:positionV relativeFrom="paragraph">
                  <wp:posOffset>478099</wp:posOffset>
                </wp:positionV>
                <wp:extent cx="1936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270"/>
                        </a:xfrm>
                        <a:custGeom>
                          <a:avLst/>
                          <a:gdLst/>
                          <a:ahLst/>
                          <a:cxnLst/>
                          <a:rect l="l" t="t" r="r" b="b"/>
                          <a:pathLst>
                            <a:path w="193675">
                              <a:moveTo>
                                <a:pt x="0" y="0"/>
                              </a:moveTo>
                              <a:lnTo>
                                <a:pt x="193548" y="0"/>
                              </a:lnTo>
                            </a:path>
                          </a:pathLst>
                        </a:custGeom>
                        <a:ln w="12829">
                          <a:solidFill>
                            <a:srgbClr val="F76363"/>
                          </a:solidFill>
                          <a:prstDash val="solid"/>
                        </a:ln>
                      </wps:spPr>
                      <wps:bodyPr wrap="square" lIns="0" tIns="0" rIns="0" bIns="0" rtlCol="0">
                        <a:prstTxWarp prst="textNoShape">
                          <a:avLst/>
                        </a:prstTxWarp>
                        <a:noAutofit/>
                      </wps:bodyPr>
                    </wps:wsp>
                  </a:graphicData>
                </a:graphic>
              </wp:anchor>
            </w:drawing>
          </mc:Choice>
          <mc:Fallback>
            <w:pict>
              <v:shape w14:anchorId="75CC9796" id="Graphic 2" o:spid="_x0000_s1026" style="position:absolute;margin-left:238.45pt;margin-top:37.65pt;width:15.25pt;height:.1pt;z-index:-15762944;visibility:visible;mso-wrap-style:square;mso-wrap-distance-left:0;mso-wrap-distance-top:0;mso-wrap-distance-right:0;mso-wrap-distance-bottom:0;mso-position-horizontal:absolute;mso-position-horizontal-relative:page;mso-position-vertical:absolute;mso-position-vertical-relative:text;v-text-anchor:top" coordsize="19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g6FwIAAFkEAAAOAAAAZHJzL2Uyb0RvYy54bWysVMtu2zAQvBfoPxC81/KjsRPBclDEcFEg&#10;SAPERc80RVlCKS7LpS3577ukHnHSW9ELMeSuljM7S63v21qzs3JYgcn4bDLlTBkJeWWOGf+x3326&#10;5Qy9MLnQYFTGLwr5/ebjh3VjUzWHEnSuHKMiBtPGZrz03qZJgrJUtcAJWGUoWICrhaetOya5Ew1V&#10;r3Uyn06XSQMutw6kQqTTbRfkm1i/KJT034sClWc648TNx9XF9RDWZLMW6dEJW1aypyH+gUUtKkOX&#10;jqW2wgt2ctVfpepKOkAo/ERCnUBRVFJFDaRmNn2n5qUUVkUt1By0Y5vw/5WVT+cX++wCdbSPIH8h&#10;dSRpLKZjJGywz2kLV4dcIs7a2MXL2EXVeibpcHa3WK5uOJMUms1XsceJSIdP5Qn9VwWxjDg/ou8s&#10;yAckygHJ1gzQkZHBQh0t9JyRhY4zsvDQWWiFD98FbgGyZuQRjmo4qz3EoH/Hm5i9RrW5ziIhN59p&#10;fgeJlNolEAiXUKM6EC8mfC1Nm8hhfju/i4OBoKt8V2kdWKA7Hh60Y2dBmnar5WK5CDKoxJs069Bv&#10;BZZdXgz1adr0LnXGBIsOkF+eHWtoljOOv0/CKc70N0PDEgZ/AG4AhwE4rx8gPo/YILpz3/4UzrJw&#10;fcY9+foEwyiKdPAsaB9zw5cGvpw8FFUwNE5Qx6jf0PxGgf1bCw/keh+zXv8Imz8AAAD//wMAUEsD&#10;BBQABgAIAAAAIQACLezr3wAAAAkBAAAPAAAAZHJzL2Rvd25yZXYueG1sTI/BbsIwDIbvk3iHyEi7&#10;jXRbS1nXFE1IaBo3GAOOaeOlFY1TNYF2b79w2o62P/3+/nw5mpZdsXeNJQGPswgYUmVVQ1rA/nP9&#10;sADmvCQlW0so4AcdLIvJXS4zZQfa4nXnNQsh5DIpoPa+yzh3VY1GupntkMLt2/ZG+jD2mqteDiHc&#10;tPwpiubcyIbCh1p2uKqxOu8uRsD7Pt2U9uMQ61Kvjic3rGlz/hLifjq+vQLzOPo/GG76QR2K4FTa&#10;CynHWgFxOn8JqIA0eQYWgCRKY2DlbZEAL3L+v0HxCwAA//8DAFBLAQItABQABgAIAAAAIQC2gziS&#10;/gAAAOEBAAATAAAAAAAAAAAAAAAAAAAAAABbQ29udGVudF9UeXBlc10ueG1sUEsBAi0AFAAGAAgA&#10;AAAhADj9If/WAAAAlAEAAAsAAAAAAAAAAAAAAAAALwEAAF9yZWxzLy5yZWxzUEsBAi0AFAAGAAgA&#10;AAAhAN0umDoXAgAAWQQAAA4AAAAAAAAAAAAAAAAALgIAAGRycy9lMm9Eb2MueG1sUEsBAi0AFAAG&#10;AAgAAAAhAAIt7OvfAAAACQEAAA8AAAAAAAAAAAAAAAAAcQQAAGRycy9kb3ducmV2LnhtbFBLBQYA&#10;AAAABAAEAPMAAAB9BQAAAAA=&#10;" path="m,l193548,e" filled="f" strokecolor="#f76363" strokeweight=".35636mm">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7F4F32A8" wp14:editId="1C574494">
                <wp:simplePos x="0" y="0"/>
                <wp:positionH relativeFrom="page">
                  <wp:posOffset>1649595</wp:posOffset>
                </wp:positionH>
                <wp:positionV relativeFrom="paragraph">
                  <wp:posOffset>250850</wp:posOffset>
                </wp:positionV>
                <wp:extent cx="145415" cy="1143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415" cy="114300"/>
                        </a:xfrm>
                        <a:custGeom>
                          <a:avLst/>
                          <a:gdLst/>
                          <a:ahLst/>
                          <a:cxnLst/>
                          <a:rect l="l" t="t" r="r" b="b"/>
                          <a:pathLst>
                            <a:path w="145415" h="114300">
                              <a:moveTo>
                                <a:pt x="75265" y="0"/>
                              </a:moveTo>
                              <a:lnTo>
                                <a:pt x="68940" y="0"/>
                              </a:lnTo>
                              <a:lnTo>
                                <a:pt x="68604" y="61512"/>
                              </a:lnTo>
                              <a:lnTo>
                                <a:pt x="59137" y="89238"/>
                              </a:lnTo>
                              <a:lnTo>
                                <a:pt x="42080" y="102693"/>
                              </a:lnTo>
                              <a:lnTo>
                                <a:pt x="18975" y="106213"/>
                              </a:lnTo>
                              <a:lnTo>
                                <a:pt x="6324" y="106213"/>
                              </a:lnTo>
                              <a:lnTo>
                                <a:pt x="0" y="106213"/>
                              </a:lnTo>
                              <a:lnTo>
                                <a:pt x="0" y="113800"/>
                              </a:lnTo>
                              <a:lnTo>
                                <a:pt x="144838" y="113800"/>
                              </a:lnTo>
                              <a:lnTo>
                                <a:pt x="144838" y="106213"/>
                              </a:lnTo>
                              <a:lnTo>
                                <a:pt x="138513" y="106213"/>
                              </a:lnTo>
                              <a:lnTo>
                                <a:pt x="104972" y="102693"/>
                              </a:lnTo>
                              <a:lnTo>
                                <a:pt x="84594" y="89238"/>
                              </a:lnTo>
                              <a:lnTo>
                                <a:pt x="75364" y="61512"/>
                              </a:lnTo>
                              <a:lnTo>
                                <a:pt x="75265" y="0"/>
                              </a:lnTo>
                              <a:close/>
                            </a:path>
                          </a:pathLst>
                        </a:custGeom>
                        <a:solidFill>
                          <a:srgbClr val="C036C4"/>
                        </a:solidFill>
                      </wps:spPr>
                      <wps:bodyPr wrap="square" lIns="0" tIns="0" rIns="0" bIns="0" rtlCol="0">
                        <a:prstTxWarp prst="textNoShape">
                          <a:avLst/>
                        </a:prstTxWarp>
                        <a:noAutofit/>
                      </wps:bodyPr>
                    </wps:wsp>
                  </a:graphicData>
                </a:graphic>
              </wp:anchor>
            </w:drawing>
          </mc:Choice>
          <mc:Fallback>
            <w:pict>
              <v:shape w14:anchorId="33D8A41D" id="Graphic 3" o:spid="_x0000_s1026" style="position:absolute;margin-left:129.9pt;margin-top:19.75pt;width:11.45pt;height:9pt;z-index:15729152;visibility:visible;mso-wrap-style:square;mso-wrap-distance-left:0;mso-wrap-distance-top:0;mso-wrap-distance-right:0;mso-wrap-distance-bottom:0;mso-position-horizontal:absolute;mso-position-horizontal-relative:page;mso-position-vertical:absolute;mso-position-vertical-relative:text;v-text-anchor:top" coordsize="14541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EAlQIAAKsGAAAOAAAAZHJzL2Uyb0RvYy54bWysVV1vmzAUfZ+0/2D5fQXzFUAl1ZSq06Sq&#10;q9RMe3aMCWiAPdsJ6b/ftYnTaJWabtoLvsbHh3M/ub45DD3ac6U7MVaYXIUY8ZGJuhu3Ff6+vvuU&#10;Y6QNHWvai5FX+JlrfLP8+OF6kiWPRCv6misEJKMuJ1nh1hhZBoFmLR+ovhKSj3DYCDVQA1u1DWpF&#10;J2Af+iAKwyyYhKqlEoxrDW9v50O8dPxNw5n51jSaG9RXGLQZ91TuubHPYHlNy62isu3YUQb9BxUD&#10;7Ub46InqlhqKdqp7RTV0TAktGnPFxBCIpukYdz6ANyT8w5unlkrufIHgaHkKk/5/tOxh/yQflZWu&#10;5b1gPzVEJJikLk8ndqOPmEOjBosF4ejgovh8iiI/GMTgJUnShKQYMTgiJIlDF+WAlv4y22nzhQtH&#10;RPf32sxJqL1FW2+xw+hNBam0SexdEg1GkESFESRxMydRUmPvWXXWRNOLkvYkxJ4OYs/XwuGMdWKR&#10;RhnI9Y6A0BdEP54js7xIoIjOkP7cr9IxZnkWJg6XkZREVh+weoxfZ2xakHjhsHkRxfmb2CQK8/n7&#10;JIyyIn4TTPJiMbtFwiwib4OzOJoFvwPrFVwkPQJJnJ9KwPvu1zkGJElycN0Glvwd+rJnwJeC8477&#10;HegwKRbREX0xxHmSFnPYLudukcbZe2vidUX6eLFeaD6Xky1yV1enwocaO28tLfquvuv63pa6VtvN&#10;qldoT6GHVmGcrZJj9ZzBXN/PrW6bfiPq50eFJpiOFda/dlRxjPqvI4wfSK3xhvLGxhvK9CvhBq7r&#10;MqXN+vCDKokkmBU2MCkehB9utPQzAPRbwIy1N0fxeWdE09kB4bTNio4bmIjO/+P0tiP3fO9QL/+Y&#10;5W8AAAD//wMAUEsDBBQABgAIAAAAIQDpfpmv4AAAAAkBAAAPAAAAZHJzL2Rvd25yZXYueG1sTI/B&#10;TsMwEETvSPyDtUhcEHVIZdqGOBUC5VQhQeilt228JGnjdRS7bfh7zAmOoxnNvMnXk+3FmUbfOdbw&#10;MEtAENfOdNxo2H6W90sQPiAb7B2Thm/ysC6ur3LMjLvwB52r0IhYwj5DDW0IQyalr1uy6GduII7e&#10;lxsthijHRpoRL7Hc9jJNkkdpseO40OJALy3Vx+pkNRxDtTtscF6Zt8NduXmX6rXc7rS+vZmen0AE&#10;msJfGH7xIzoUkWnvTmy86DWkahXRg4b5SoGIgXSZLkDsNaiFAlnk8v+D4gcAAP//AwBQSwECLQAU&#10;AAYACAAAACEAtoM4kv4AAADhAQAAEwAAAAAAAAAAAAAAAAAAAAAAW0NvbnRlbnRfVHlwZXNdLnht&#10;bFBLAQItABQABgAIAAAAIQA4/SH/1gAAAJQBAAALAAAAAAAAAAAAAAAAAC8BAABfcmVscy8ucmVs&#10;c1BLAQItABQABgAIAAAAIQCbiwEAlQIAAKsGAAAOAAAAAAAAAAAAAAAAAC4CAABkcnMvZTJvRG9j&#10;LnhtbFBLAQItABQABgAIAAAAIQDpfpmv4AAAAAkBAAAPAAAAAAAAAAAAAAAAAO8EAABkcnMvZG93&#10;bnJldi54bWxQSwUGAAAAAAQABADzAAAA/AUAAAAA&#10;" path="m75265,l68940,r-336,61512l59137,89238,42080,102693r-23105,3520l6324,106213r-6324,l,113800r144838,l144838,106213r-6325,l104972,102693,84594,89238,75364,61512,75265,xe" fillcolor="#c036c4" stroked="f">
                <v:path arrowok="t"/>
                <w10:wrap anchorx="page"/>
              </v:shape>
            </w:pict>
          </mc:Fallback>
        </mc:AlternateContent>
      </w:r>
      <w:r>
        <w:t>May</w:t>
      </w:r>
      <w:r>
        <w:rPr>
          <w:spacing w:val="-10"/>
        </w:rPr>
        <w:t xml:space="preserve"> </w:t>
      </w:r>
      <w:r>
        <w:t>I</w:t>
      </w:r>
      <w:r>
        <w:rPr>
          <w:spacing w:val="-13"/>
        </w:rPr>
        <w:t xml:space="preserve"> </w:t>
      </w:r>
      <w:r>
        <w:t>also</w:t>
      </w:r>
      <w:r w:rsidR="003403F1">
        <w:t>,</w:t>
      </w:r>
      <w:r>
        <w:rPr>
          <w:spacing w:val="-12"/>
        </w:rPr>
        <w:t xml:space="preserve"> </w:t>
      </w:r>
      <w:r>
        <w:t>in</w:t>
      </w:r>
      <w:r>
        <w:rPr>
          <w:spacing w:val="-10"/>
        </w:rPr>
        <w:t xml:space="preserve"> </w:t>
      </w:r>
      <w:r>
        <w:t>reiterating</w:t>
      </w:r>
      <w:r>
        <w:rPr>
          <w:spacing w:val="-12"/>
        </w:rPr>
        <w:t xml:space="preserve"> </w:t>
      </w:r>
      <w:r>
        <w:t>congratulations</w:t>
      </w:r>
      <w:r>
        <w:rPr>
          <w:spacing w:val="-12"/>
        </w:rPr>
        <w:t xml:space="preserve"> </w:t>
      </w:r>
      <w:r>
        <w:t>to</w:t>
      </w:r>
      <w:r>
        <w:rPr>
          <w:spacing w:val="-12"/>
        </w:rPr>
        <w:t xml:space="preserve"> </w:t>
      </w:r>
      <w:r>
        <w:t>you</w:t>
      </w:r>
      <w:r>
        <w:rPr>
          <w:spacing w:val="-12"/>
        </w:rPr>
        <w:t xml:space="preserve"> </w:t>
      </w:r>
      <w:r>
        <w:t>on</w:t>
      </w:r>
      <w:r>
        <w:rPr>
          <w:spacing w:val="-7"/>
        </w:rPr>
        <w:t xml:space="preserve"> </w:t>
      </w:r>
      <w:r>
        <w:t>your</w:t>
      </w:r>
      <w:r>
        <w:rPr>
          <w:spacing w:val="-13"/>
        </w:rPr>
        <w:t xml:space="preserve"> </w:t>
      </w:r>
      <w:r>
        <w:t>election</w:t>
      </w:r>
      <w:r>
        <w:rPr>
          <w:spacing w:val="-12"/>
        </w:rPr>
        <w:t xml:space="preserve"> </w:t>
      </w:r>
      <w:r>
        <w:t>as</w:t>
      </w:r>
      <w:r>
        <w:rPr>
          <w:spacing w:val="-9"/>
        </w:rPr>
        <w:t xml:space="preserve"> </w:t>
      </w:r>
      <w:r>
        <w:t>President</w:t>
      </w:r>
      <w:r>
        <w:rPr>
          <w:spacing w:val="-9"/>
        </w:rPr>
        <w:t xml:space="preserve"> </w:t>
      </w:r>
      <w:r>
        <w:t>of</w:t>
      </w:r>
      <w:r>
        <w:rPr>
          <w:spacing w:val="-13"/>
        </w:rPr>
        <w:t xml:space="preserve"> </w:t>
      </w:r>
      <w:r>
        <w:t>the</w:t>
      </w:r>
      <w:r>
        <w:rPr>
          <w:spacing w:val="-11"/>
        </w:rPr>
        <w:t xml:space="preserve"> </w:t>
      </w:r>
      <w:r>
        <w:t xml:space="preserve">thirty-first session of the </w:t>
      </w:r>
      <w:r w:rsidRPr="003403F1">
        <w:t>Asse</w:t>
      </w:r>
      <w:r w:rsidR="003403F1" w:rsidRPr="003403F1">
        <w:t>mbly</w:t>
      </w:r>
      <w:r w:rsidRPr="003403F1">
        <w:t>,</w:t>
      </w:r>
      <w:r>
        <w:t xml:space="preserve"> extend these congratulations to the elected Vice-Presidents. </w:t>
      </w:r>
    </w:p>
    <w:p w14:paraId="2724E6C3" w14:textId="77777777" w:rsidR="00B41B4C" w:rsidRDefault="00B41B4C">
      <w:pPr>
        <w:pStyle w:val="BodyText"/>
        <w:spacing w:before="6"/>
        <w:ind w:left="0"/>
      </w:pPr>
    </w:p>
    <w:p w14:paraId="4DB583FB" w14:textId="77777777" w:rsidR="00B41B4C" w:rsidRDefault="008D6B46">
      <w:pPr>
        <w:pStyle w:val="BodyText"/>
        <w:ind w:right="192"/>
      </w:pPr>
      <w:r>
        <w:t>I</w:t>
      </w:r>
      <w:r>
        <w:rPr>
          <w:spacing w:val="-4"/>
        </w:rPr>
        <w:t xml:space="preserve"> </w:t>
      </w:r>
      <w:r>
        <w:t>also</w:t>
      </w:r>
      <w:r>
        <w:rPr>
          <w:spacing w:val="-3"/>
        </w:rPr>
        <w:t xml:space="preserve"> </w:t>
      </w:r>
      <w:r>
        <w:t>reiterate</w:t>
      </w:r>
      <w:r>
        <w:rPr>
          <w:spacing w:val="-4"/>
        </w:rPr>
        <w:t xml:space="preserve"> </w:t>
      </w:r>
      <w:r>
        <w:t>Brazil’s</w:t>
      </w:r>
      <w:r>
        <w:rPr>
          <w:spacing w:val="-3"/>
        </w:rPr>
        <w:t xml:space="preserve"> </w:t>
      </w:r>
      <w:r>
        <w:t>sincere</w:t>
      </w:r>
      <w:r>
        <w:rPr>
          <w:spacing w:val="-3"/>
        </w:rPr>
        <w:t xml:space="preserve"> </w:t>
      </w:r>
      <w:r>
        <w:t>appreciation</w:t>
      </w:r>
      <w:r>
        <w:rPr>
          <w:spacing w:val="-3"/>
        </w:rPr>
        <w:t xml:space="preserve"> </w:t>
      </w:r>
      <w:r>
        <w:t>to</w:t>
      </w:r>
      <w:r>
        <w:rPr>
          <w:spacing w:val="-3"/>
        </w:rPr>
        <w:t xml:space="preserve"> </w:t>
      </w:r>
      <w:r>
        <w:t>the</w:t>
      </w:r>
      <w:r>
        <w:rPr>
          <w:spacing w:val="-3"/>
        </w:rPr>
        <w:t xml:space="preserve"> </w:t>
      </w:r>
      <w:r>
        <w:t>Government</w:t>
      </w:r>
      <w:r>
        <w:rPr>
          <w:spacing w:val="-3"/>
        </w:rPr>
        <w:t xml:space="preserve"> </w:t>
      </w:r>
      <w:r>
        <w:t>and</w:t>
      </w:r>
      <w:r>
        <w:rPr>
          <w:spacing w:val="-3"/>
        </w:rPr>
        <w:t xml:space="preserve"> </w:t>
      </w:r>
      <w:r>
        <w:t>people</w:t>
      </w:r>
      <w:r>
        <w:rPr>
          <w:spacing w:val="-3"/>
        </w:rPr>
        <w:t xml:space="preserve"> </w:t>
      </w:r>
      <w:r>
        <w:t>of</w:t>
      </w:r>
      <w:r>
        <w:rPr>
          <w:spacing w:val="-4"/>
        </w:rPr>
        <w:t xml:space="preserve"> </w:t>
      </w:r>
      <w:r>
        <w:t>Jamaica for hosting the International Seabed Authority since its establishment.</w:t>
      </w:r>
    </w:p>
    <w:p w14:paraId="4795166A" w14:textId="77777777" w:rsidR="00B41B4C" w:rsidRDefault="00B41B4C">
      <w:pPr>
        <w:pStyle w:val="BodyText"/>
        <w:spacing w:before="2"/>
        <w:ind w:left="0"/>
      </w:pPr>
    </w:p>
    <w:p w14:paraId="3D89BF5E" w14:textId="77777777" w:rsidR="00B41B4C" w:rsidRDefault="008D6B46">
      <w:pPr>
        <w:pStyle w:val="BodyText"/>
      </w:pPr>
      <w:proofErr w:type="spellStart"/>
      <w:r>
        <w:t>Mr</w:t>
      </w:r>
      <w:proofErr w:type="spellEnd"/>
      <w:r>
        <w:rPr>
          <w:spacing w:val="-1"/>
        </w:rPr>
        <w:t xml:space="preserve"> </w:t>
      </w:r>
      <w:r>
        <w:rPr>
          <w:spacing w:val="-2"/>
        </w:rPr>
        <w:t>President,</w:t>
      </w:r>
    </w:p>
    <w:p w14:paraId="687F5156" w14:textId="77777777" w:rsidR="00B41B4C" w:rsidRDefault="00B41B4C">
      <w:pPr>
        <w:pStyle w:val="BodyText"/>
        <w:spacing w:before="46"/>
        <w:ind w:left="0"/>
      </w:pPr>
    </w:p>
    <w:p w14:paraId="7760486D" w14:textId="77777777" w:rsidR="00B41B4C" w:rsidRDefault="008D6B46">
      <w:pPr>
        <w:pStyle w:val="BodyText"/>
      </w:pPr>
      <w:r>
        <w:t>Brazil</w:t>
      </w:r>
      <w:r>
        <w:rPr>
          <w:spacing w:val="-4"/>
        </w:rPr>
        <w:t xml:space="preserve"> </w:t>
      </w:r>
      <w:r>
        <w:t>reaffirms</w:t>
      </w:r>
      <w:r>
        <w:rPr>
          <w:spacing w:val="-2"/>
        </w:rPr>
        <w:t xml:space="preserve"> </w:t>
      </w:r>
      <w:r>
        <w:t>its</w:t>
      </w:r>
      <w:r>
        <w:rPr>
          <w:spacing w:val="-2"/>
        </w:rPr>
        <w:t xml:space="preserve"> </w:t>
      </w:r>
      <w:r>
        <w:t>steadfast</w:t>
      </w:r>
      <w:r>
        <w:rPr>
          <w:spacing w:val="-2"/>
        </w:rPr>
        <w:t xml:space="preserve"> </w:t>
      </w:r>
      <w:r>
        <w:t>support</w:t>
      </w:r>
      <w:r>
        <w:rPr>
          <w:spacing w:val="-2"/>
        </w:rPr>
        <w:t xml:space="preserve"> </w:t>
      </w:r>
      <w:r>
        <w:t>for</w:t>
      </w:r>
      <w:r>
        <w:rPr>
          <w:spacing w:val="-3"/>
        </w:rPr>
        <w:t xml:space="preserve"> </w:t>
      </w:r>
      <w:r>
        <w:t>the</w:t>
      </w:r>
      <w:r>
        <w:rPr>
          <w:spacing w:val="-1"/>
        </w:rPr>
        <w:t xml:space="preserve"> </w:t>
      </w:r>
      <w:r>
        <w:t>International</w:t>
      </w:r>
      <w:r>
        <w:rPr>
          <w:spacing w:val="-2"/>
        </w:rPr>
        <w:t xml:space="preserve"> </w:t>
      </w:r>
      <w:r>
        <w:t>Seabed</w:t>
      </w:r>
      <w:r>
        <w:rPr>
          <w:spacing w:val="-2"/>
        </w:rPr>
        <w:t xml:space="preserve"> Authority.</w:t>
      </w:r>
    </w:p>
    <w:p w14:paraId="43C764ED" w14:textId="77777777" w:rsidR="00B41B4C" w:rsidRDefault="00B41B4C">
      <w:pPr>
        <w:pStyle w:val="BodyText"/>
        <w:spacing w:before="45"/>
        <w:ind w:left="0"/>
      </w:pPr>
    </w:p>
    <w:p w14:paraId="53779E28" w14:textId="77777777" w:rsidR="00B41B4C" w:rsidRDefault="008D6B46">
      <w:pPr>
        <w:pStyle w:val="BodyText"/>
        <w:spacing w:line="276" w:lineRule="auto"/>
        <w:ind w:right="137"/>
        <w:jc w:val="both"/>
      </w:pPr>
      <w:r>
        <w:t>We</w:t>
      </w:r>
      <w:r>
        <w:rPr>
          <w:spacing w:val="-13"/>
        </w:rPr>
        <w:t xml:space="preserve"> </w:t>
      </w:r>
      <w:r>
        <w:t>note</w:t>
      </w:r>
      <w:r>
        <w:rPr>
          <w:spacing w:val="-13"/>
        </w:rPr>
        <w:t xml:space="preserve"> </w:t>
      </w:r>
      <w:r>
        <w:t>with</w:t>
      </w:r>
      <w:r>
        <w:rPr>
          <w:spacing w:val="-12"/>
        </w:rPr>
        <w:t xml:space="preserve"> </w:t>
      </w:r>
      <w:r>
        <w:t>satisfaction</w:t>
      </w:r>
      <w:r>
        <w:rPr>
          <w:spacing w:val="-12"/>
        </w:rPr>
        <w:t xml:space="preserve"> </w:t>
      </w:r>
      <w:r>
        <w:t>that</w:t>
      </w:r>
      <w:r>
        <w:rPr>
          <w:spacing w:val="-12"/>
        </w:rPr>
        <w:t xml:space="preserve"> </w:t>
      </w:r>
      <w:r>
        <w:t>the</w:t>
      </w:r>
      <w:r>
        <w:rPr>
          <w:spacing w:val="-13"/>
        </w:rPr>
        <w:t xml:space="preserve"> </w:t>
      </w:r>
      <w:r>
        <w:t>Authority</w:t>
      </w:r>
      <w:r>
        <w:rPr>
          <w:spacing w:val="-12"/>
        </w:rPr>
        <w:t xml:space="preserve"> </w:t>
      </w:r>
      <w:r>
        <w:t>has</w:t>
      </w:r>
      <w:r>
        <w:rPr>
          <w:spacing w:val="-12"/>
        </w:rPr>
        <w:t xml:space="preserve"> </w:t>
      </w:r>
      <w:r>
        <w:t>been</w:t>
      </w:r>
      <w:r>
        <w:rPr>
          <w:spacing w:val="-12"/>
        </w:rPr>
        <w:t xml:space="preserve"> </w:t>
      </w:r>
      <w:r>
        <w:t>seeking</w:t>
      </w:r>
      <w:r>
        <w:rPr>
          <w:spacing w:val="-12"/>
        </w:rPr>
        <w:t xml:space="preserve"> </w:t>
      </w:r>
      <w:r>
        <w:t>to</w:t>
      </w:r>
      <w:r>
        <w:rPr>
          <w:spacing w:val="-12"/>
        </w:rPr>
        <w:t xml:space="preserve"> </w:t>
      </w:r>
      <w:r>
        <w:t>respond</w:t>
      </w:r>
      <w:r>
        <w:rPr>
          <w:spacing w:val="-12"/>
        </w:rPr>
        <w:t xml:space="preserve"> </w:t>
      </w:r>
      <w:r>
        <w:t>to</w:t>
      </w:r>
      <w:r>
        <w:rPr>
          <w:spacing w:val="-12"/>
        </w:rPr>
        <w:t xml:space="preserve"> </w:t>
      </w:r>
      <w:r>
        <w:t>the</w:t>
      </w:r>
      <w:r>
        <w:rPr>
          <w:spacing w:val="-13"/>
        </w:rPr>
        <w:t xml:space="preserve"> </w:t>
      </w:r>
      <w:r>
        <w:t>challenges before it through the institutional and legal avenues provided by the Convention. In this regard, Brazil sees with interest the inclusion in the agenda of this session of the item concerning a request for an advisory opinion from the Seabed Disputes Chamber of the International Tribunal for the Law of the Sea, pursuant to article 191 of the Convention. Recourse to the advisory jurisdiction of the Chamber is a legitimate and appropriate means of obtaining authoritative legal guidance and of upholding the integrity of the regime established by Part XI.</w:t>
      </w:r>
    </w:p>
    <w:p w14:paraId="2EFB3801" w14:textId="77777777" w:rsidR="00B41B4C" w:rsidRDefault="00B41B4C">
      <w:pPr>
        <w:pStyle w:val="BodyText"/>
        <w:spacing w:before="5"/>
        <w:ind w:left="0"/>
      </w:pPr>
    </w:p>
    <w:p w14:paraId="76A03F2C" w14:textId="77777777" w:rsidR="00B41B4C" w:rsidRDefault="008D6B46">
      <w:pPr>
        <w:pStyle w:val="BodyText"/>
        <w:spacing w:before="1" w:line="276" w:lineRule="auto"/>
        <w:ind w:right="137"/>
        <w:jc w:val="both"/>
      </w:pPr>
      <w:r>
        <w:t>We equally welcome the item proposed by Vanuatu on ensuring adequate scientific understanding to support informed decision-making. Sound science must remain the foundation of the work of the Authority. The deep seabed is among the least known environments on our planet. This should not be a peripheral concern for this Assembly. Under article 143 of the Convention, the Authority shall promote and encourage the conduct</w:t>
      </w:r>
      <w:r>
        <w:rPr>
          <w:spacing w:val="-12"/>
        </w:rPr>
        <w:t xml:space="preserve"> </w:t>
      </w:r>
      <w:r>
        <w:t>of</w:t>
      </w:r>
      <w:r>
        <w:rPr>
          <w:spacing w:val="-10"/>
        </w:rPr>
        <w:t xml:space="preserve"> </w:t>
      </w:r>
      <w:r>
        <w:t>marine</w:t>
      </w:r>
      <w:r>
        <w:rPr>
          <w:spacing w:val="-11"/>
        </w:rPr>
        <w:t xml:space="preserve"> </w:t>
      </w:r>
      <w:r>
        <w:t>scientific</w:t>
      </w:r>
      <w:r>
        <w:rPr>
          <w:spacing w:val="-13"/>
        </w:rPr>
        <w:t xml:space="preserve"> </w:t>
      </w:r>
      <w:r>
        <w:t>research</w:t>
      </w:r>
      <w:r>
        <w:rPr>
          <w:spacing w:val="-12"/>
        </w:rPr>
        <w:t xml:space="preserve"> </w:t>
      </w:r>
      <w:r>
        <w:t>in</w:t>
      </w:r>
      <w:r>
        <w:rPr>
          <w:spacing w:val="-10"/>
        </w:rPr>
        <w:t xml:space="preserve"> </w:t>
      </w:r>
      <w:r>
        <w:t>the</w:t>
      </w:r>
      <w:r>
        <w:rPr>
          <w:spacing w:val="-13"/>
        </w:rPr>
        <w:t xml:space="preserve"> </w:t>
      </w:r>
      <w:r>
        <w:t>Area</w:t>
      </w:r>
      <w:r>
        <w:rPr>
          <w:spacing w:val="-11"/>
        </w:rPr>
        <w:t xml:space="preserve"> </w:t>
      </w:r>
      <w:r>
        <w:t>and</w:t>
      </w:r>
      <w:r>
        <w:rPr>
          <w:spacing w:val="-12"/>
        </w:rPr>
        <w:t xml:space="preserve"> </w:t>
      </w:r>
      <w:r>
        <w:t>shall</w:t>
      </w:r>
      <w:r>
        <w:rPr>
          <w:spacing w:val="-12"/>
        </w:rPr>
        <w:t xml:space="preserve"> </w:t>
      </w:r>
      <w:r>
        <w:t>coordinate</w:t>
      </w:r>
      <w:r>
        <w:rPr>
          <w:spacing w:val="-11"/>
        </w:rPr>
        <w:t xml:space="preserve"> </w:t>
      </w:r>
      <w:r>
        <w:t>and</w:t>
      </w:r>
      <w:r>
        <w:rPr>
          <w:spacing w:val="-12"/>
        </w:rPr>
        <w:t xml:space="preserve"> </w:t>
      </w:r>
      <w:r>
        <w:t>disseminate</w:t>
      </w:r>
      <w:r>
        <w:rPr>
          <w:spacing w:val="-13"/>
        </w:rPr>
        <w:t xml:space="preserve"> </w:t>
      </w:r>
      <w:r>
        <w:t xml:space="preserve">the results of such research; and States Parties are called upon to ensure that research </w:t>
      </w:r>
      <w:proofErr w:type="spellStart"/>
      <w:r>
        <w:t>programmes</w:t>
      </w:r>
      <w:proofErr w:type="spellEnd"/>
      <w:r>
        <w:t xml:space="preserve"> are developed through the Authority for the benefit of developing States. Advancing</w:t>
      </w:r>
      <w:r>
        <w:rPr>
          <w:spacing w:val="-15"/>
        </w:rPr>
        <w:t xml:space="preserve"> </w:t>
      </w:r>
      <w:r>
        <w:t>and</w:t>
      </w:r>
      <w:r>
        <w:rPr>
          <w:spacing w:val="-15"/>
        </w:rPr>
        <w:t xml:space="preserve"> </w:t>
      </w:r>
      <w:r>
        <w:t>sharing</w:t>
      </w:r>
      <w:r>
        <w:rPr>
          <w:spacing w:val="-15"/>
        </w:rPr>
        <w:t xml:space="preserve"> </w:t>
      </w:r>
      <w:r>
        <w:t>scientific</w:t>
      </w:r>
      <w:r>
        <w:rPr>
          <w:spacing w:val="-15"/>
        </w:rPr>
        <w:t xml:space="preserve"> </w:t>
      </w:r>
      <w:r>
        <w:t>knowledge</w:t>
      </w:r>
      <w:r>
        <w:rPr>
          <w:spacing w:val="-15"/>
        </w:rPr>
        <w:t xml:space="preserve"> </w:t>
      </w:r>
      <w:r>
        <w:t>of</w:t>
      </w:r>
      <w:r>
        <w:rPr>
          <w:spacing w:val="-15"/>
        </w:rPr>
        <w:t xml:space="preserve"> </w:t>
      </w:r>
      <w:r>
        <w:t>the</w:t>
      </w:r>
      <w:r>
        <w:rPr>
          <w:spacing w:val="-14"/>
        </w:rPr>
        <w:t xml:space="preserve"> </w:t>
      </w:r>
      <w:r>
        <w:t>Area</w:t>
      </w:r>
      <w:r>
        <w:rPr>
          <w:spacing w:val="-15"/>
        </w:rPr>
        <w:t xml:space="preserve"> </w:t>
      </w:r>
      <w:r>
        <w:t>is</w:t>
      </w:r>
      <w:r>
        <w:rPr>
          <w:spacing w:val="-15"/>
        </w:rPr>
        <w:t xml:space="preserve"> </w:t>
      </w:r>
      <w:r>
        <w:t>therefore</w:t>
      </w:r>
      <w:r>
        <w:rPr>
          <w:spacing w:val="-15"/>
        </w:rPr>
        <w:t xml:space="preserve"> </w:t>
      </w:r>
      <w:r>
        <w:t>not</w:t>
      </w:r>
      <w:r>
        <w:rPr>
          <w:spacing w:val="-15"/>
        </w:rPr>
        <w:t xml:space="preserve"> </w:t>
      </w:r>
      <w:r>
        <w:t>merely</w:t>
      </w:r>
      <w:r>
        <w:rPr>
          <w:spacing w:val="-14"/>
        </w:rPr>
        <w:t xml:space="preserve"> </w:t>
      </w:r>
      <w:r>
        <w:t xml:space="preserve">desirable: it is a function entrusted to this </w:t>
      </w:r>
      <w:proofErr w:type="spellStart"/>
      <w:r>
        <w:t>Authorit</w:t>
      </w:r>
      <w:proofErr w:type="spellEnd"/>
      <w:r>
        <w:t xml:space="preserve"> by the Convention, and a precondition for any responsible decision on activities in the Area.</w:t>
      </w:r>
    </w:p>
    <w:p w14:paraId="7CA47FC1" w14:textId="77777777" w:rsidR="00B41B4C" w:rsidRDefault="00B41B4C">
      <w:pPr>
        <w:pStyle w:val="BodyText"/>
        <w:spacing w:before="3"/>
        <w:ind w:left="0"/>
      </w:pPr>
    </w:p>
    <w:p w14:paraId="4DC60A38" w14:textId="77777777" w:rsidR="00B41B4C" w:rsidRDefault="008D6B46">
      <w:pPr>
        <w:pStyle w:val="BodyText"/>
      </w:pPr>
      <w:proofErr w:type="spellStart"/>
      <w:r>
        <w:t>Mr</w:t>
      </w:r>
      <w:proofErr w:type="spellEnd"/>
      <w:r>
        <w:rPr>
          <w:spacing w:val="-1"/>
        </w:rPr>
        <w:t xml:space="preserve"> </w:t>
      </w:r>
      <w:r>
        <w:rPr>
          <w:spacing w:val="-2"/>
        </w:rPr>
        <w:t>President,</w:t>
      </w:r>
    </w:p>
    <w:p w14:paraId="4182F0F8" w14:textId="77777777" w:rsidR="00B41B4C" w:rsidRDefault="00B41B4C">
      <w:pPr>
        <w:pStyle w:val="BodyText"/>
        <w:spacing w:before="45"/>
        <w:ind w:left="0"/>
      </w:pPr>
    </w:p>
    <w:p w14:paraId="57631FC7" w14:textId="77777777" w:rsidR="00B41B4C" w:rsidRDefault="008D6B46">
      <w:pPr>
        <w:pStyle w:val="BodyText"/>
        <w:spacing w:line="276" w:lineRule="auto"/>
        <w:ind w:right="137"/>
        <w:jc w:val="both"/>
      </w:pPr>
      <w:r>
        <w:t>Brazil remains fully committed to the work of the Authority on the draft regulations on exploitation of mineral resources in the Area. We acknowledge the important progress achieved by the Council in recent sessions. At the same time, we must underscore that beyond the regulatory text, the Authority must advance on institutional matters that are integral to the regime of Part XI: the operationalization of the Economic Planning Commission</w:t>
      </w:r>
      <w:r>
        <w:rPr>
          <w:spacing w:val="10"/>
        </w:rPr>
        <w:t xml:space="preserve"> </w:t>
      </w:r>
      <w:r>
        <w:t>and</w:t>
      </w:r>
      <w:r>
        <w:rPr>
          <w:spacing w:val="11"/>
        </w:rPr>
        <w:t xml:space="preserve"> </w:t>
      </w:r>
      <w:r>
        <w:t>the</w:t>
      </w:r>
      <w:r>
        <w:rPr>
          <w:spacing w:val="11"/>
        </w:rPr>
        <w:t xml:space="preserve"> </w:t>
      </w:r>
      <w:r>
        <w:t>establishment</w:t>
      </w:r>
      <w:r>
        <w:rPr>
          <w:spacing w:val="13"/>
        </w:rPr>
        <w:t xml:space="preserve"> </w:t>
      </w:r>
      <w:r>
        <w:t>of</w:t>
      </w:r>
      <w:r>
        <w:rPr>
          <w:spacing w:val="11"/>
        </w:rPr>
        <w:t xml:space="preserve"> </w:t>
      </w:r>
      <w:r>
        <w:t>an</w:t>
      </w:r>
      <w:r>
        <w:rPr>
          <w:spacing w:val="13"/>
        </w:rPr>
        <w:t xml:space="preserve"> </w:t>
      </w:r>
      <w:r>
        <w:t>effective</w:t>
      </w:r>
      <w:r>
        <w:rPr>
          <w:spacing w:val="13"/>
        </w:rPr>
        <w:t xml:space="preserve"> </w:t>
      </w:r>
      <w:r>
        <w:t>mechanism</w:t>
      </w:r>
      <w:r>
        <w:rPr>
          <w:spacing w:val="13"/>
        </w:rPr>
        <w:t xml:space="preserve"> </w:t>
      </w:r>
      <w:r>
        <w:t>for</w:t>
      </w:r>
      <w:r>
        <w:rPr>
          <w:spacing w:val="11"/>
        </w:rPr>
        <w:t xml:space="preserve"> </w:t>
      </w:r>
      <w:proofErr w:type="gramStart"/>
      <w:r>
        <w:t>the</w:t>
      </w:r>
      <w:r>
        <w:rPr>
          <w:spacing w:val="12"/>
        </w:rPr>
        <w:t xml:space="preserve"> </w:t>
      </w:r>
      <w:r>
        <w:t>equitable</w:t>
      </w:r>
      <w:proofErr w:type="gramEnd"/>
      <w:r>
        <w:rPr>
          <w:spacing w:val="12"/>
        </w:rPr>
        <w:t xml:space="preserve"> </w:t>
      </w:r>
      <w:r>
        <w:rPr>
          <w:spacing w:val="-2"/>
        </w:rPr>
        <w:t>sharing</w:t>
      </w:r>
    </w:p>
    <w:p w14:paraId="10C6EC4A" w14:textId="77777777" w:rsidR="00B41B4C" w:rsidRDefault="00B41B4C">
      <w:pPr>
        <w:pStyle w:val="BodyText"/>
        <w:spacing w:line="276" w:lineRule="auto"/>
        <w:jc w:val="both"/>
        <w:sectPr w:rsidR="00B41B4C">
          <w:type w:val="continuous"/>
          <w:pgSz w:w="11910" w:h="16840"/>
          <w:pgMar w:top="1320" w:right="1559" w:bottom="280" w:left="1700" w:header="720" w:footer="720" w:gutter="0"/>
          <w:cols w:space="720"/>
        </w:sectPr>
      </w:pPr>
    </w:p>
    <w:p w14:paraId="3A6381F0" w14:textId="77777777" w:rsidR="00B41B4C" w:rsidRDefault="008D6B46">
      <w:pPr>
        <w:pStyle w:val="BodyText"/>
        <w:spacing w:before="76" w:line="276" w:lineRule="auto"/>
        <w:ind w:right="139"/>
        <w:jc w:val="both"/>
      </w:pPr>
      <w:r>
        <w:lastRenderedPageBreak/>
        <w:t>of</w:t>
      </w:r>
      <w:r>
        <w:rPr>
          <w:spacing w:val="-11"/>
        </w:rPr>
        <w:t xml:space="preserve"> </w:t>
      </w:r>
      <w:r>
        <w:t>financial</w:t>
      </w:r>
      <w:r>
        <w:rPr>
          <w:spacing w:val="-10"/>
        </w:rPr>
        <w:t xml:space="preserve"> </w:t>
      </w:r>
      <w:r>
        <w:t>and</w:t>
      </w:r>
      <w:r>
        <w:rPr>
          <w:spacing w:val="-11"/>
        </w:rPr>
        <w:t xml:space="preserve"> </w:t>
      </w:r>
      <w:r>
        <w:t>other</w:t>
      </w:r>
      <w:r>
        <w:rPr>
          <w:spacing w:val="-11"/>
        </w:rPr>
        <w:t xml:space="preserve"> </w:t>
      </w:r>
      <w:r>
        <w:t>economic</w:t>
      </w:r>
      <w:r>
        <w:rPr>
          <w:spacing w:val="-12"/>
        </w:rPr>
        <w:t xml:space="preserve"> </w:t>
      </w:r>
      <w:r>
        <w:t>benefits</w:t>
      </w:r>
      <w:r>
        <w:rPr>
          <w:spacing w:val="-10"/>
        </w:rPr>
        <w:t xml:space="preserve"> </w:t>
      </w:r>
      <w:r>
        <w:t>derived</w:t>
      </w:r>
      <w:r>
        <w:rPr>
          <w:spacing w:val="-11"/>
        </w:rPr>
        <w:t xml:space="preserve"> </w:t>
      </w:r>
      <w:r>
        <w:t>from</w:t>
      </w:r>
      <w:r>
        <w:rPr>
          <w:spacing w:val="-10"/>
        </w:rPr>
        <w:t xml:space="preserve"> </w:t>
      </w:r>
      <w:r>
        <w:t>activities</w:t>
      </w:r>
      <w:r>
        <w:rPr>
          <w:spacing w:val="-10"/>
        </w:rPr>
        <w:t xml:space="preserve"> </w:t>
      </w:r>
      <w:r>
        <w:t>in</w:t>
      </w:r>
      <w:r>
        <w:rPr>
          <w:spacing w:val="-13"/>
        </w:rPr>
        <w:t xml:space="preserve"> </w:t>
      </w:r>
      <w:r>
        <w:t>the</w:t>
      </w:r>
      <w:r>
        <w:rPr>
          <w:spacing w:val="-12"/>
        </w:rPr>
        <w:t xml:space="preserve"> </w:t>
      </w:r>
      <w:r>
        <w:t>Area</w:t>
      </w:r>
      <w:r>
        <w:rPr>
          <w:spacing w:val="-12"/>
        </w:rPr>
        <w:t xml:space="preserve"> </w:t>
      </w:r>
      <w:r>
        <w:t>are</w:t>
      </w:r>
      <w:r>
        <w:rPr>
          <w:spacing w:val="-12"/>
        </w:rPr>
        <w:t xml:space="preserve"> </w:t>
      </w:r>
      <w:r>
        <w:t>examples. We</w:t>
      </w:r>
      <w:r>
        <w:rPr>
          <w:spacing w:val="-8"/>
        </w:rPr>
        <w:t xml:space="preserve"> </w:t>
      </w:r>
      <w:r>
        <w:t>note</w:t>
      </w:r>
      <w:r>
        <w:rPr>
          <w:spacing w:val="-8"/>
        </w:rPr>
        <w:t xml:space="preserve"> </w:t>
      </w:r>
      <w:r>
        <w:t>that</w:t>
      </w:r>
      <w:r>
        <w:rPr>
          <w:spacing w:val="-7"/>
        </w:rPr>
        <w:t xml:space="preserve"> </w:t>
      </w:r>
      <w:r>
        <w:t>these</w:t>
      </w:r>
      <w:r>
        <w:rPr>
          <w:spacing w:val="-8"/>
        </w:rPr>
        <w:t xml:space="preserve"> </w:t>
      </w:r>
      <w:r>
        <w:t>matters</w:t>
      </w:r>
      <w:r>
        <w:rPr>
          <w:spacing w:val="-7"/>
        </w:rPr>
        <w:t xml:space="preserve"> </w:t>
      </w:r>
      <w:r>
        <w:t>have</w:t>
      </w:r>
      <w:r>
        <w:rPr>
          <w:spacing w:val="-8"/>
        </w:rPr>
        <w:t xml:space="preserve"> </w:t>
      </w:r>
      <w:r>
        <w:t>been</w:t>
      </w:r>
      <w:r>
        <w:rPr>
          <w:spacing w:val="-5"/>
        </w:rPr>
        <w:t xml:space="preserve"> </w:t>
      </w:r>
      <w:r>
        <w:t>addressed</w:t>
      </w:r>
      <w:r>
        <w:rPr>
          <w:spacing w:val="-7"/>
        </w:rPr>
        <w:t xml:space="preserve"> </w:t>
      </w:r>
      <w:r>
        <w:t>in</w:t>
      </w:r>
      <w:r>
        <w:rPr>
          <w:spacing w:val="-7"/>
        </w:rPr>
        <w:t xml:space="preserve"> </w:t>
      </w:r>
      <w:r>
        <w:t>recent</w:t>
      </w:r>
      <w:r>
        <w:rPr>
          <w:spacing w:val="-7"/>
        </w:rPr>
        <w:t xml:space="preserve"> </w:t>
      </w:r>
      <w:r>
        <w:t>sessions</w:t>
      </w:r>
      <w:r>
        <w:rPr>
          <w:spacing w:val="-7"/>
        </w:rPr>
        <w:t xml:space="preserve"> </w:t>
      </w:r>
      <w:r>
        <w:t>—</w:t>
      </w:r>
      <w:r>
        <w:rPr>
          <w:spacing w:val="-7"/>
        </w:rPr>
        <w:t xml:space="preserve"> </w:t>
      </w:r>
      <w:r>
        <w:t>which</w:t>
      </w:r>
      <w:r>
        <w:rPr>
          <w:spacing w:val="-7"/>
        </w:rPr>
        <w:t xml:space="preserve"> </w:t>
      </w:r>
      <w:r>
        <w:t>is</w:t>
      </w:r>
      <w:r>
        <w:rPr>
          <w:spacing w:val="-7"/>
        </w:rPr>
        <w:t xml:space="preserve"> </w:t>
      </w:r>
      <w:proofErr w:type="gramStart"/>
      <w:r>
        <w:t>a</w:t>
      </w:r>
      <w:r>
        <w:rPr>
          <w:spacing w:val="-8"/>
        </w:rPr>
        <w:t xml:space="preserve"> </w:t>
      </w:r>
      <w:r>
        <w:t>welcome</w:t>
      </w:r>
      <w:proofErr w:type="gramEnd"/>
      <w:r>
        <w:t xml:space="preserve"> development. Much work, however, remains to be done, and Brazil encourages the Authority to continue to give this matter the careful consideration it warrants.</w:t>
      </w:r>
    </w:p>
    <w:p w14:paraId="167CB0BA" w14:textId="77777777" w:rsidR="00B41B4C" w:rsidRDefault="00B41B4C">
      <w:pPr>
        <w:pStyle w:val="BodyText"/>
        <w:spacing w:before="5"/>
        <w:ind w:left="0"/>
      </w:pPr>
    </w:p>
    <w:p w14:paraId="48948F8F" w14:textId="77777777" w:rsidR="00B41B4C" w:rsidRDefault="008D6B46">
      <w:pPr>
        <w:pStyle w:val="BodyText"/>
        <w:spacing w:line="276" w:lineRule="auto"/>
        <w:ind w:right="136"/>
        <w:jc w:val="both"/>
      </w:pPr>
      <w:r>
        <w:t>Robust rules and the institutional arrangements envisaged in the Convention serve a single purpose. They are what allow the common heritage of humankind to be administered</w:t>
      </w:r>
      <w:r>
        <w:rPr>
          <w:spacing w:val="-5"/>
        </w:rPr>
        <w:t xml:space="preserve"> </w:t>
      </w:r>
      <w:r>
        <w:t>as</w:t>
      </w:r>
      <w:r>
        <w:rPr>
          <w:spacing w:val="-5"/>
        </w:rPr>
        <w:t xml:space="preserve"> </w:t>
      </w:r>
      <w:r>
        <w:t>the</w:t>
      </w:r>
      <w:r>
        <w:rPr>
          <w:spacing w:val="-6"/>
        </w:rPr>
        <w:t xml:space="preserve"> </w:t>
      </w:r>
      <w:r>
        <w:t>Convention</w:t>
      </w:r>
      <w:r>
        <w:rPr>
          <w:spacing w:val="-5"/>
        </w:rPr>
        <w:t xml:space="preserve"> </w:t>
      </w:r>
      <w:r>
        <w:t>intends:</w:t>
      </w:r>
      <w:r>
        <w:rPr>
          <w:spacing w:val="-4"/>
        </w:rPr>
        <w:t xml:space="preserve"> </w:t>
      </w:r>
      <w:r>
        <w:t>so</w:t>
      </w:r>
      <w:r>
        <w:rPr>
          <w:spacing w:val="-5"/>
        </w:rPr>
        <w:t xml:space="preserve"> </w:t>
      </w:r>
      <w:r>
        <w:t>that</w:t>
      </w:r>
      <w:r>
        <w:rPr>
          <w:spacing w:val="-4"/>
        </w:rPr>
        <w:t xml:space="preserve"> </w:t>
      </w:r>
      <w:r>
        <w:t>the</w:t>
      </w:r>
      <w:r>
        <w:rPr>
          <w:spacing w:val="-8"/>
        </w:rPr>
        <w:t xml:space="preserve"> </w:t>
      </w:r>
      <w:r>
        <w:t>benefits</w:t>
      </w:r>
      <w:r>
        <w:rPr>
          <w:spacing w:val="-5"/>
        </w:rPr>
        <w:t xml:space="preserve"> </w:t>
      </w:r>
      <w:r>
        <w:t>it</w:t>
      </w:r>
      <w:r>
        <w:rPr>
          <w:spacing w:val="-4"/>
        </w:rPr>
        <w:t xml:space="preserve"> </w:t>
      </w:r>
      <w:r>
        <w:t>yields</w:t>
      </w:r>
      <w:r>
        <w:rPr>
          <w:spacing w:val="-5"/>
        </w:rPr>
        <w:t xml:space="preserve"> </w:t>
      </w:r>
      <w:r>
        <w:t>are</w:t>
      </w:r>
      <w:r>
        <w:rPr>
          <w:spacing w:val="-6"/>
        </w:rPr>
        <w:t xml:space="preserve"> </w:t>
      </w:r>
      <w:r>
        <w:t>shared</w:t>
      </w:r>
      <w:r>
        <w:rPr>
          <w:spacing w:val="-5"/>
        </w:rPr>
        <w:t xml:space="preserve"> </w:t>
      </w:r>
      <w:r>
        <w:t>equitably among</w:t>
      </w:r>
      <w:r>
        <w:rPr>
          <w:spacing w:val="-10"/>
        </w:rPr>
        <w:t xml:space="preserve"> </w:t>
      </w:r>
      <w:r>
        <w:t>all,</w:t>
      </w:r>
      <w:r>
        <w:rPr>
          <w:spacing w:val="-10"/>
        </w:rPr>
        <w:t xml:space="preserve"> </w:t>
      </w:r>
      <w:r>
        <w:t>including</w:t>
      </w:r>
      <w:r>
        <w:rPr>
          <w:spacing w:val="-10"/>
        </w:rPr>
        <w:t xml:space="preserve"> </w:t>
      </w:r>
      <w:r>
        <w:t>future</w:t>
      </w:r>
      <w:r>
        <w:rPr>
          <w:spacing w:val="-11"/>
        </w:rPr>
        <w:t xml:space="preserve"> </w:t>
      </w:r>
      <w:r>
        <w:t>generations,</w:t>
      </w:r>
      <w:r>
        <w:rPr>
          <w:spacing w:val="-10"/>
        </w:rPr>
        <w:t xml:space="preserve"> </w:t>
      </w:r>
      <w:r>
        <w:t>and</w:t>
      </w:r>
      <w:r>
        <w:rPr>
          <w:spacing w:val="-10"/>
        </w:rPr>
        <w:t xml:space="preserve"> </w:t>
      </w:r>
      <w:r>
        <w:t>so</w:t>
      </w:r>
      <w:r>
        <w:rPr>
          <w:spacing w:val="-10"/>
        </w:rPr>
        <w:t xml:space="preserve"> </w:t>
      </w:r>
      <w:r>
        <w:t>that,</w:t>
      </w:r>
      <w:r>
        <w:rPr>
          <w:spacing w:val="-10"/>
        </w:rPr>
        <w:t xml:space="preserve"> </w:t>
      </w:r>
      <w:r>
        <w:t>above</w:t>
      </w:r>
      <w:r>
        <w:rPr>
          <w:spacing w:val="-11"/>
        </w:rPr>
        <w:t xml:space="preserve"> </w:t>
      </w:r>
      <w:r>
        <w:t>all,</w:t>
      </w:r>
      <w:r>
        <w:rPr>
          <w:spacing w:val="-10"/>
        </w:rPr>
        <w:t xml:space="preserve"> </w:t>
      </w:r>
      <w:r>
        <w:t>that</w:t>
      </w:r>
      <w:r>
        <w:rPr>
          <w:spacing w:val="-10"/>
        </w:rPr>
        <w:t xml:space="preserve"> </w:t>
      </w:r>
      <w:r>
        <w:t>heritage</w:t>
      </w:r>
      <w:r>
        <w:rPr>
          <w:spacing w:val="-9"/>
        </w:rPr>
        <w:t xml:space="preserve"> </w:t>
      </w:r>
      <w:r>
        <w:t>is</w:t>
      </w:r>
      <w:r>
        <w:rPr>
          <w:spacing w:val="-10"/>
        </w:rPr>
        <w:t xml:space="preserve"> </w:t>
      </w:r>
      <w:r>
        <w:t>not</w:t>
      </w:r>
      <w:r>
        <w:rPr>
          <w:spacing w:val="-10"/>
        </w:rPr>
        <w:t xml:space="preserve"> </w:t>
      </w:r>
      <w:r>
        <w:t>harmed in the process. The duty to ensure effective protection of the marine environment from harmful</w:t>
      </w:r>
      <w:r>
        <w:rPr>
          <w:spacing w:val="-14"/>
        </w:rPr>
        <w:t xml:space="preserve"> </w:t>
      </w:r>
      <w:r>
        <w:t>effects</w:t>
      </w:r>
      <w:r>
        <w:rPr>
          <w:spacing w:val="-14"/>
        </w:rPr>
        <w:t xml:space="preserve"> </w:t>
      </w:r>
      <w:r>
        <w:t>arising</w:t>
      </w:r>
      <w:r>
        <w:rPr>
          <w:spacing w:val="-14"/>
        </w:rPr>
        <w:t xml:space="preserve"> </w:t>
      </w:r>
      <w:r>
        <w:t>from</w:t>
      </w:r>
      <w:r>
        <w:rPr>
          <w:spacing w:val="-14"/>
        </w:rPr>
        <w:t xml:space="preserve"> </w:t>
      </w:r>
      <w:r>
        <w:t>activities</w:t>
      </w:r>
      <w:r>
        <w:rPr>
          <w:spacing w:val="-14"/>
        </w:rPr>
        <w:t xml:space="preserve"> </w:t>
      </w:r>
      <w:r>
        <w:t>in</w:t>
      </w:r>
      <w:r>
        <w:rPr>
          <w:spacing w:val="-14"/>
        </w:rPr>
        <w:t xml:space="preserve"> </w:t>
      </w:r>
      <w:r>
        <w:t>the</w:t>
      </w:r>
      <w:r>
        <w:rPr>
          <w:spacing w:val="-15"/>
        </w:rPr>
        <w:t xml:space="preserve"> </w:t>
      </w:r>
      <w:r>
        <w:t>Area,</w:t>
      </w:r>
      <w:r>
        <w:rPr>
          <w:spacing w:val="-12"/>
        </w:rPr>
        <w:t xml:space="preserve"> </w:t>
      </w:r>
      <w:r>
        <w:t>set</w:t>
      </w:r>
      <w:r>
        <w:rPr>
          <w:spacing w:val="-14"/>
        </w:rPr>
        <w:t xml:space="preserve"> </w:t>
      </w:r>
      <w:r>
        <w:t>out</w:t>
      </w:r>
      <w:r>
        <w:rPr>
          <w:spacing w:val="-14"/>
        </w:rPr>
        <w:t xml:space="preserve"> </w:t>
      </w:r>
      <w:r>
        <w:t>in</w:t>
      </w:r>
      <w:r>
        <w:rPr>
          <w:spacing w:val="-14"/>
        </w:rPr>
        <w:t xml:space="preserve"> </w:t>
      </w:r>
      <w:r>
        <w:t>article</w:t>
      </w:r>
      <w:r>
        <w:rPr>
          <w:spacing w:val="-15"/>
        </w:rPr>
        <w:t xml:space="preserve"> </w:t>
      </w:r>
      <w:r>
        <w:t>145</w:t>
      </w:r>
      <w:r>
        <w:rPr>
          <w:spacing w:val="-14"/>
        </w:rPr>
        <w:t xml:space="preserve"> </w:t>
      </w:r>
      <w:r>
        <w:t>of</w:t>
      </w:r>
      <w:r>
        <w:rPr>
          <w:spacing w:val="-15"/>
        </w:rPr>
        <w:t xml:space="preserve"> </w:t>
      </w:r>
      <w:r>
        <w:t>the</w:t>
      </w:r>
      <w:r>
        <w:rPr>
          <w:spacing w:val="-15"/>
        </w:rPr>
        <w:t xml:space="preserve"> </w:t>
      </w:r>
      <w:r>
        <w:t>Convention, is a cardinal obligation of the regime.</w:t>
      </w:r>
    </w:p>
    <w:p w14:paraId="06543F70" w14:textId="77777777" w:rsidR="00B41B4C" w:rsidRDefault="00B41B4C">
      <w:pPr>
        <w:pStyle w:val="BodyText"/>
        <w:spacing w:before="3"/>
        <w:ind w:left="0"/>
      </w:pPr>
    </w:p>
    <w:p w14:paraId="69126109" w14:textId="77777777" w:rsidR="00B41B4C" w:rsidRDefault="008D6B46">
      <w:pPr>
        <w:pStyle w:val="BodyText"/>
        <w:spacing w:before="1"/>
        <w:jc w:val="both"/>
      </w:pPr>
      <w:proofErr w:type="spellStart"/>
      <w:r>
        <w:t>Mr</w:t>
      </w:r>
      <w:proofErr w:type="spellEnd"/>
      <w:r>
        <w:rPr>
          <w:spacing w:val="-1"/>
        </w:rPr>
        <w:t xml:space="preserve"> </w:t>
      </w:r>
      <w:r>
        <w:rPr>
          <w:spacing w:val="-2"/>
        </w:rPr>
        <w:t>President,</w:t>
      </w:r>
    </w:p>
    <w:p w14:paraId="01217CB3" w14:textId="77777777" w:rsidR="00B41B4C" w:rsidRDefault="00B41B4C">
      <w:pPr>
        <w:pStyle w:val="BodyText"/>
        <w:spacing w:before="45"/>
        <w:ind w:left="0"/>
      </w:pPr>
    </w:p>
    <w:p w14:paraId="7CB99E1D" w14:textId="77777777" w:rsidR="00B41B4C" w:rsidRDefault="008D6B46">
      <w:pPr>
        <w:pStyle w:val="BodyText"/>
        <w:spacing w:line="276" w:lineRule="auto"/>
        <w:ind w:right="136"/>
        <w:jc w:val="both"/>
      </w:pPr>
      <w:r>
        <w:t>Brazil will continue to engage constructively in all items on our agenda, including the periodic review of the international regime of the Area pursuant to article 154 of the Convention</w:t>
      </w:r>
      <w:r>
        <w:rPr>
          <w:spacing w:val="-2"/>
        </w:rPr>
        <w:t xml:space="preserve"> </w:t>
      </w:r>
      <w:r>
        <w:t>—</w:t>
      </w:r>
      <w:r>
        <w:rPr>
          <w:spacing w:val="-2"/>
        </w:rPr>
        <w:t xml:space="preserve"> </w:t>
      </w:r>
      <w:r>
        <w:t>a</w:t>
      </w:r>
      <w:r>
        <w:rPr>
          <w:spacing w:val="-3"/>
        </w:rPr>
        <w:t xml:space="preserve"> </w:t>
      </w:r>
      <w:r>
        <w:t>valuable</w:t>
      </w:r>
      <w:r>
        <w:rPr>
          <w:spacing w:val="-3"/>
        </w:rPr>
        <w:t xml:space="preserve"> </w:t>
      </w:r>
      <w:r>
        <w:t>opportunity</w:t>
      </w:r>
      <w:r>
        <w:rPr>
          <w:spacing w:val="-2"/>
        </w:rPr>
        <w:t xml:space="preserve"> </w:t>
      </w:r>
      <w:r>
        <w:t>to</w:t>
      </w:r>
      <w:r>
        <w:rPr>
          <w:spacing w:val="-2"/>
        </w:rPr>
        <w:t xml:space="preserve"> </w:t>
      </w:r>
      <w:r>
        <w:t>take</w:t>
      </w:r>
      <w:r>
        <w:rPr>
          <w:spacing w:val="-3"/>
        </w:rPr>
        <w:t xml:space="preserve"> </w:t>
      </w:r>
      <w:r>
        <w:t>stock</w:t>
      </w:r>
      <w:r>
        <w:rPr>
          <w:spacing w:val="-2"/>
        </w:rPr>
        <w:t xml:space="preserve"> </w:t>
      </w:r>
      <w:r>
        <w:t>of</w:t>
      </w:r>
      <w:r>
        <w:rPr>
          <w:spacing w:val="-3"/>
        </w:rPr>
        <w:t xml:space="preserve"> </w:t>
      </w:r>
      <w:r>
        <w:t>how</w:t>
      </w:r>
      <w:r>
        <w:rPr>
          <w:spacing w:val="-3"/>
        </w:rPr>
        <w:t xml:space="preserve"> </w:t>
      </w:r>
      <w:r>
        <w:t>the</w:t>
      </w:r>
      <w:r>
        <w:rPr>
          <w:spacing w:val="-3"/>
        </w:rPr>
        <w:t xml:space="preserve"> </w:t>
      </w:r>
      <w:r>
        <w:t>institutions</w:t>
      </w:r>
      <w:r>
        <w:rPr>
          <w:spacing w:val="-2"/>
        </w:rPr>
        <w:t xml:space="preserve"> </w:t>
      </w:r>
      <w:r>
        <w:t>of</w:t>
      </w:r>
      <w:r>
        <w:rPr>
          <w:spacing w:val="-3"/>
        </w:rPr>
        <w:t xml:space="preserve"> </w:t>
      </w:r>
      <w:r>
        <w:t>Part</w:t>
      </w:r>
      <w:r>
        <w:rPr>
          <w:spacing w:val="-2"/>
        </w:rPr>
        <w:t xml:space="preserve"> </w:t>
      </w:r>
      <w:r>
        <w:t>XI</w:t>
      </w:r>
      <w:r>
        <w:rPr>
          <w:spacing w:val="-3"/>
        </w:rPr>
        <w:t xml:space="preserve"> </w:t>
      </w:r>
      <w:r>
        <w:t>are functioning and where they must be strengthened.</w:t>
      </w:r>
    </w:p>
    <w:p w14:paraId="77F3BC7D" w14:textId="77777777" w:rsidR="00B41B4C" w:rsidRDefault="00B41B4C">
      <w:pPr>
        <w:pStyle w:val="BodyText"/>
        <w:spacing w:before="5"/>
        <w:ind w:left="0"/>
      </w:pPr>
    </w:p>
    <w:p w14:paraId="5C92F9D3" w14:textId="77777777" w:rsidR="00B41B4C" w:rsidRDefault="008D6B46">
      <w:pPr>
        <w:pStyle w:val="BodyText"/>
        <w:spacing w:line="276" w:lineRule="auto"/>
        <w:ind w:right="139"/>
        <w:jc w:val="both"/>
      </w:pPr>
      <w:r>
        <w:t>Let me close as I began. Brazil reaffirms its steadfast support for this Authority, for the international law of the sea, and for international law more broadly. These have been challenging times for multilateralism. Against that backdrop, the Authority stands as an example of multilateral cooperation.</w:t>
      </w:r>
    </w:p>
    <w:p w14:paraId="0D86FB95" w14:textId="77777777" w:rsidR="00B41B4C" w:rsidRDefault="00B41B4C">
      <w:pPr>
        <w:pStyle w:val="BodyText"/>
        <w:spacing w:before="5"/>
        <w:ind w:left="0"/>
      </w:pPr>
    </w:p>
    <w:p w14:paraId="0E6E3423" w14:textId="77777777" w:rsidR="00B41B4C" w:rsidRDefault="008D6B46">
      <w:pPr>
        <w:pStyle w:val="BodyText"/>
        <w:spacing w:line="276" w:lineRule="auto"/>
        <w:ind w:right="136"/>
        <w:jc w:val="both"/>
      </w:pPr>
      <w:r>
        <w:t>UNCLOS is the universal framework on which our work rests. As its preamble recalls, the Convention was negotiated in the awareness that the problems of ocean space are closely interrelated and must be considered as a whole — and it therefore sets out the comprehensive legal framework within which all activities in the oceans and seas are to be carried out. Its parts do not stand apart from one another. Preserving the integrity of the</w:t>
      </w:r>
      <w:r>
        <w:rPr>
          <w:spacing w:val="-3"/>
        </w:rPr>
        <w:t xml:space="preserve"> </w:t>
      </w:r>
      <w:r>
        <w:t>Convention</w:t>
      </w:r>
      <w:r>
        <w:rPr>
          <w:spacing w:val="-2"/>
        </w:rPr>
        <w:t xml:space="preserve"> </w:t>
      </w:r>
      <w:r>
        <w:t>and</w:t>
      </w:r>
      <w:r>
        <w:rPr>
          <w:spacing w:val="-2"/>
        </w:rPr>
        <w:t xml:space="preserve"> </w:t>
      </w:r>
      <w:r>
        <w:t>its</w:t>
      </w:r>
      <w:r>
        <w:rPr>
          <w:spacing w:val="-2"/>
        </w:rPr>
        <w:t xml:space="preserve"> </w:t>
      </w:r>
      <w:r>
        <w:t>contribution</w:t>
      </w:r>
      <w:r>
        <w:rPr>
          <w:spacing w:val="-2"/>
        </w:rPr>
        <w:t xml:space="preserve"> </w:t>
      </w:r>
      <w:r>
        <w:t>to</w:t>
      </w:r>
      <w:r>
        <w:rPr>
          <w:spacing w:val="-2"/>
        </w:rPr>
        <w:t xml:space="preserve"> </w:t>
      </w:r>
      <w:r>
        <w:t>the</w:t>
      </w:r>
      <w:r>
        <w:rPr>
          <w:spacing w:val="-3"/>
        </w:rPr>
        <w:t xml:space="preserve"> </w:t>
      </w:r>
      <w:r>
        <w:t>maintenance</w:t>
      </w:r>
      <w:r>
        <w:rPr>
          <w:spacing w:val="-3"/>
        </w:rPr>
        <w:t xml:space="preserve"> </w:t>
      </w:r>
      <w:r>
        <w:t>of</w:t>
      </w:r>
      <w:r>
        <w:rPr>
          <w:spacing w:val="-3"/>
        </w:rPr>
        <w:t xml:space="preserve"> </w:t>
      </w:r>
      <w:r>
        <w:t>peace,</w:t>
      </w:r>
      <w:r>
        <w:rPr>
          <w:spacing w:val="-2"/>
        </w:rPr>
        <w:t xml:space="preserve"> </w:t>
      </w:r>
      <w:r>
        <w:t>justice</w:t>
      </w:r>
      <w:r>
        <w:rPr>
          <w:spacing w:val="-3"/>
        </w:rPr>
        <w:t xml:space="preserve"> </w:t>
      </w:r>
      <w:r>
        <w:t>and</w:t>
      </w:r>
      <w:r>
        <w:rPr>
          <w:spacing w:val="-2"/>
        </w:rPr>
        <w:t xml:space="preserve"> </w:t>
      </w:r>
      <w:r>
        <w:t>progress</w:t>
      </w:r>
      <w:r>
        <w:rPr>
          <w:spacing w:val="-2"/>
        </w:rPr>
        <w:t xml:space="preserve"> </w:t>
      </w:r>
      <w:r>
        <w:t>for all is an obligation we share.</w:t>
      </w:r>
    </w:p>
    <w:p w14:paraId="34D2CE40" w14:textId="77777777" w:rsidR="00B41B4C" w:rsidRDefault="00B41B4C">
      <w:pPr>
        <w:pStyle w:val="BodyText"/>
        <w:spacing w:before="3"/>
        <w:ind w:left="0"/>
      </w:pPr>
    </w:p>
    <w:p w14:paraId="163F352F" w14:textId="77777777" w:rsidR="00B41B4C" w:rsidRDefault="008D6B46">
      <w:pPr>
        <w:pStyle w:val="BodyText"/>
        <w:jc w:val="both"/>
      </w:pPr>
      <w:proofErr w:type="gramStart"/>
      <w:r>
        <w:t>I</w:t>
      </w:r>
      <w:r>
        <w:rPr>
          <w:spacing w:val="-7"/>
        </w:rPr>
        <w:t xml:space="preserve"> </w:t>
      </w:r>
      <w:r>
        <w:t>thank</w:t>
      </w:r>
      <w:proofErr w:type="gramEnd"/>
      <w:r>
        <w:t xml:space="preserve"> </w:t>
      </w:r>
      <w:r>
        <w:rPr>
          <w:spacing w:val="-4"/>
        </w:rPr>
        <w:t>you.</w:t>
      </w:r>
    </w:p>
    <w:sectPr w:rsidR="00B41B4C">
      <w:pgSz w:w="11910" w:h="16840"/>
      <w:pgMar w:top="1320" w:right="1559"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4C"/>
    <w:rsid w:val="003403F1"/>
    <w:rsid w:val="00345BED"/>
    <w:rsid w:val="00763812"/>
    <w:rsid w:val="008D6B46"/>
    <w:rsid w:val="00B41B4C"/>
    <w:rsid w:val="00F4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C0493"/>
  <w15:docId w15:val="{C5DA2C13-7D79-4A83-882C-FD026E6F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D38EF08D1D764C8E779F88178EF224" ma:contentTypeVersion="16" ma:contentTypeDescription="Create a new document." ma:contentTypeScope="" ma:versionID="4fcae016c8095e69bd15723d580b5617">
  <xsd:schema xmlns:xsd="http://www.w3.org/2001/XMLSchema" xmlns:xs="http://www.w3.org/2001/XMLSchema" xmlns:p="http://schemas.microsoft.com/office/2006/metadata/properties" xmlns:ns3="467a7aaa-4fa0-404a-be6e-ac70559006f9" xmlns:ns4="01af4cd6-aa95-4831-969f-8d9879c84f19" targetNamespace="http://schemas.microsoft.com/office/2006/metadata/properties" ma:root="true" ma:fieldsID="5ad9012ae3684ed5d3c7697c871718fb" ns3:_="" ns4:_="">
    <xsd:import namespace="467a7aaa-4fa0-404a-be6e-ac70559006f9"/>
    <xsd:import namespace="01af4cd6-aa95-4831-969f-8d9879c84f1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7aaa-4fa0-404a-be6e-ac7055900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af4cd6-aa95-4831-969f-8d9879c84f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7a7aaa-4fa0-404a-be6e-ac70559006f9" xsi:nil="true"/>
  </documentManagement>
</p:properties>
</file>

<file path=customXml/itemProps1.xml><?xml version="1.0" encoding="utf-8"?>
<ds:datastoreItem xmlns:ds="http://schemas.openxmlformats.org/officeDocument/2006/customXml" ds:itemID="{F4136FF3-6780-4790-86D7-1207B31AAA4B}">
  <ds:schemaRefs>
    <ds:schemaRef ds:uri="http://schemas.microsoft.com/sharepoint/v3/contenttype/forms"/>
  </ds:schemaRefs>
</ds:datastoreItem>
</file>

<file path=customXml/itemProps2.xml><?xml version="1.0" encoding="utf-8"?>
<ds:datastoreItem xmlns:ds="http://schemas.openxmlformats.org/officeDocument/2006/customXml" ds:itemID="{5E219D62-C9B1-4A59-A247-923FE097A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7aaa-4fa0-404a-be6e-ac70559006f9"/>
    <ds:schemaRef ds:uri="01af4cd6-aa95-4831-969f-8d9879c84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FFFFA7-9671-4794-91F5-9323E4E23C9E}">
  <ds:schemaRefs>
    <ds:schemaRef ds:uri="http://schemas.microsoft.com/office/2006/metadata/properties"/>
    <ds:schemaRef ds:uri="http://schemas.microsoft.com/office/infopath/2007/PartnerControls"/>
    <ds:schemaRef ds:uri="467a7aaa-4fa0-404a-be6e-ac70559006f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755</Words>
  <Characters>4034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Macedo Perrenoud;Manuel Montenegro</dc:creator>
  <dc:description/>
  <cp:lastModifiedBy>Manuel Adalberto Carlos Montenegro Lopes da Cruz</cp:lastModifiedBy>
  <cp:revision>3</cp:revision>
  <dcterms:created xsi:type="dcterms:W3CDTF">2026-07-28T15:42:00Z</dcterms:created>
  <dcterms:modified xsi:type="dcterms:W3CDTF">2026-07-28T15:48:00Z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Acrobat PDFMaker 26 for Word</vt:lpwstr>
  </property>
  <property fmtid="{D5CDD505-2E9C-101B-9397-08002B2CF9AE}" pid="4" name="LastSaved">
    <vt:filetime>2026-07-28T00:00:00Z</vt:filetime>
  </property>
  <property fmtid="{D5CDD505-2E9C-101B-9397-08002B2CF9AE}" pid="5" name="Producer">
    <vt:lpwstr>Adobe PDF Library 26.1.187</vt:lpwstr>
  </property>
  <property fmtid="{D5CDD505-2E9C-101B-9397-08002B2CF9AE}" pid="6" name="SourceModified">
    <vt:lpwstr/>
  </property>
  <property fmtid="{D5CDD505-2E9C-101B-9397-08002B2CF9AE}" pid="7" name="ContentTypeId">
    <vt:lpwstr>0x010100A9D38EF08D1D764C8E779F88178EF224</vt:lpwstr>
  </property>
</Properties>
</file>