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3C2B" w14:textId="16896335" w:rsidR="00010FBA" w:rsidRPr="00EB0D0E" w:rsidRDefault="00010FBA" w:rsidP="00993507">
      <w:pPr>
        <w:pStyle w:val="Heading1"/>
        <w:spacing w:before="100" w:beforeAutospacing="1" w:after="100" w:afterAutospacing="1" w:line="240" w:lineRule="auto"/>
        <w:rPr>
          <w:b/>
          <w:bCs/>
          <w:lang w:val="en-CA"/>
        </w:rPr>
      </w:pPr>
      <w:r w:rsidRPr="00EB0D0E">
        <w:rPr>
          <w:b/>
          <w:bCs/>
          <w:lang w:val="en-CA"/>
        </w:rPr>
        <w:t>A</w:t>
      </w:r>
      <w:r w:rsidR="00E430DF">
        <w:rPr>
          <w:b/>
          <w:bCs/>
          <w:lang w:val="en-CA"/>
        </w:rPr>
        <w:t>dditional</w:t>
      </w:r>
      <w:r w:rsidRPr="00EB0D0E">
        <w:rPr>
          <w:b/>
          <w:bCs/>
          <w:lang w:val="en-CA"/>
        </w:rPr>
        <w:t xml:space="preserve"> Profit Share: An Alternative Equalisation Measure</w:t>
      </w:r>
    </w:p>
    <w:p w14:paraId="7075F416" w14:textId="48C07418" w:rsidR="00010FBA" w:rsidRPr="00EB0D0E" w:rsidRDefault="00010FBA" w:rsidP="00993507">
      <w:pPr>
        <w:pStyle w:val="Heading2"/>
        <w:numPr>
          <w:ilvl w:val="0"/>
          <w:numId w:val="3"/>
        </w:numPr>
        <w:spacing w:before="100" w:beforeAutospacing="1" w:after="100" w:afterAutospacing="1" w:line="240" w:lineRule="auto"/>
        <w:rPr>
          <w:b/>
          <w:bCs/>
          <w:lang w:val="en-CA"/>
        </w:rPr>
      </w:pPr>
      <w:r w:rsidRPr="00EB0D0E">
        <w:rPr>
          <w:b/>
          <w:bCs/>
          <w:lang w:val="en-CA"/>
        </w:rPr>
        <w:t>Background</w:t>
      </w:r>
    </w:p>
    <w:p w14:paraId="32FACDBA" w14:textId="3BBB28A1" w:rsidR="00EB0D0E" w:rsidRDefault="00010FBA" w:rsidP="00993507">
      <w:pPr>
        <w:spacing w:before="100" w:beforeAutospacing="1" w:after="100" w:afterAutospacing="1" w:line="240" w:lineRule="auto"/>
        <w:rPr>
          <w:lang w:val="en-CA"/>
        </w:rPr>
      </w:pPr>
      <w:r w:rsidRPr="00010FBA">
        <w:rPr>
          <w:lang w:val="en-CA"/>
        </w:rPr>
        <w:t xml:space="preserve">The African Group and other commentators have raised concerns about whether it is reasonable to assume that contractors will pay 25% </w:t>
      </w:r>
      <w:r w:rsidR="00D67F27">
        <w:rPr>
          <w:lang w:val="en-CA"/>
        </w:rPr>
        <w:t>corporate income tax (</w:t>
      </w:r>
      <w:r w:rsidRPr="00010FBA">
        <w:rPr>
          <w:lang w:val="en-CA"/>
        </w:rPr>
        <w:t>CIT</w:t>
      </w:r>
      <w:r w:rsidR="00D67F27">
        <w:rPr>
          <w:lang w:val="en-CA"/>
        </w:rPr>
        <w:t>)</w:t>
      </w:r>
      <w:r w:rsidRPr="00010FBA">
        <w:rPr>
          <w:lang w:val="en-CA"/>
        </w:rPr>
        <w:t xml:space="preserve"> to their sponsoring states, or in practice, a much lower </w:t>
      </w:r>
      <w:proofErr w:type="gramStart"/>
      <w:r w:rsidRPr="00010FBA">
        <w:rPr>
          <w:lang w:val="en-CA"/>
        </w:rPr>
        <w:t>rate</w:t>
      </w:r>
      <w:proofErr w:type="gramEnd"/>
      <w:r w:rsidRPr="00010FBA">
        <w:rPr>
          <w:lang w:val="en-CA"/>
        </w:rPr>
        <w:t xml:space="preserve"> or no tax at all.  The Africa Group has proposed an additional fixed-rate royalty to address this issue. </w:t>
      </w:r>
    </w:p>
    <w:p w14:paraId="129D8E4E" w14:textId="2114B89B" w:rsidR="00010FBA" w:rsidRDefault="00010FBA" w:rsidP="00993507">
      <w:pPr>
        <w:spacing w:before="100" w:beforeAutospacing="1" w:after="100" w:afterAutospacing="1" w:line="240" w:lineRule="auto"/>
        <w:rPr>
          <w:lang w:val="en-CA"/>
        </w:rPr>
      </w:pPr>
      <w:r w:rsidRPr="00010FBA">
        <w:rPr>
          <w:lang w:val="en-CA"/>
        </w:rPr>
        <w:t xml:space="preserve">The benefit of using an additional fixed-rate royalty is that it should be relatively easy for the ISA to administer. The amount due would be a function of nodule prices multiplied by volume sold—the same information required to administer any mineral royalty. </w:t>
      </w:r>
    </w:p>
    <w:p w14:paraId="74752486" w14:textId="77777777" w:rsidR="00010FBA" w:rsidRDefault="00010FBA" w:rsidP="00993507">
      <w:pPr>
        <w:spacing w:before="100" w:beforeAutospacing="1" w:after="100" w:afterAutospacing="1" w:line="240" w:lineRule="auto"/>
        <w:rPr>
          <w:lang w:val="en-CA"/>
        </w:rPr>
      </w:pPr>
      <w:r w:rsidRPr="00010FBA">
        <w:rPr>
          <w:lang w:val="en-CA"/>
        </w:rPr>
        <w:t xml:space="preserve">However, there are also challenges in relying on an additional fixed-rate royalty: </w:t>
      </w:r>
    </w:p>
    <w:p w14:paraId="76B5BFFF" w14:textId="155B2F68" w:rsidR="00010FBA" w:rsidRDefault="00010FBA" w:rsidP="00993507">
      <w:pPr>
        <w:pStyle w:val="ListParagraph"/>
        <w:numPr>
          <w:ilvl w:val="0"/>
          <w:numId w:val="2"/>
        </w:numPr>
        <w:spacing w:before="100" w:beforeAutospacing="1" w:after="100" w:afterAutospacing="1" w:line="240" w:lineRule="auto"/>
        <w:rPr>
          <w:lang w:val="en-CA"/>
        </w:rPr>
      </w:pPr>
      <w:r w:rsidRPr="00010FBA">
        <w:rPr>
          <w:lang w:val="en-CA"/>
        </w:rPr>
        <w:t xml:space="preserve">Under </w:t>
      </w:r>
      <w:r w:rsidR="005021C3">
        <w:rPr>
          <w:lang w:val="en-CA"/>
        </w:rPr>
        <w:t>a</w:t>
      </w:r>
      <w:r w:rsidRPr="00010FBA">
        <w:rPr>
          <w:lang w:val="en-CA"/>
        </w:rPr>
        <w:t xml:space="preserve"> scenario</w:t>
      </w:r>
      <w:r w:rsidR="005021C3">
        <w:rPr>
          <w:lang w:val="en-CA"/>
        </w:rPr>
        <w:t xml:space="preserve"> of low mineral prices</w:t>
      </w:r>
      <w:r w:rsidR="00224931">
        <w:rPr>
          <w:lang w:val="en-CA"/>
        </w:rPr>
        <w:t xml:space="preserve"> and/or very high costs</w:t>
      </w:r>
      <w:r w:rsidRPr="00010FBA">
        <w:rPr>
          <w:lang w:val="en-CA"/>
        </w:rPr>
        <w:t xml:space="preserve">, profits would be lower, which would result in lower CIT payments, leaving contractors with less CIT to credit against the additional royalty. As a result, the contractors would end up paying an additional royalty to the ISA over and beyond their CIT payments to the sponsoring state, even if they are paying a full 25% CIT rate. If this happens in unfavourable market conditions, it could put a strain on investors’ cash flows. </w:t>
      </w:r>
      <w:proofErr w:type="gramStart"/>
      <w:r w:rsidRPr="00010FBA">
        <w:rPr>
          <w:lang w:val="en-CA"/>
        </w:rPr>
        <w:t>This risks</w:t>
      </w:r>
      <w:proofErr w:type="gramEnd"/>
      <w:r w:rsidRPr="00010FBA">
        <w:rPr>
          <w:lang w:val="en-CA"/>
        </w:rPr>
        <w:t xml:space="preserve"> undermining the entire investment proposition in DSM, and may generate calls for renegotiation by the time the additional royalty is supposed to apply.</w:t>
      </w:r>
    </w:p>
    <w:p w14:paraId="7A2F0642" w14:textId="37FA1864" w:rsidR="00010FBA" w:rsidRDefault="00010FBA" w:rsidP="00993507">
      <w:pPr>
        <w:pStyle w:val="ListParagraph"/>
        <w:numPr>
          <w:ilvl w:val="0"/>
          <w:numId w:val="2"/>
        </w:numPr>
        <w:spacing w:before="100" w:beforeAutospacing="1" w:after="100" w:afterAutospacing="1" w:line="240" w:lineRule="auto"/>
        <w:rPr>
          <w:lang w:val="en-CA"/>
        </w:rPr>
      </w:pPr>
      <w:r w:rsidRPr="00010FBA">
        <w:rPr>
          <w:lang w:val="en-CA"/>
        </w:rPr>
        <w:t xml:space="preserve">Under </w:t>
      </w:r>
      <w:r w:rsidR="00E02D71">
        <w:rPr>
          <w:lang w:val="en-CA"/>
        </w:rPr>
        <w:t>a</w:t>
      </w:r>
      <w:r w:rsidRPr="00010FBA">
        <w:rPr>
          <w:lang w:val="en-CA"/>
        </w:rPr>
        <w:t xml:space="preserve"> scenario</w:t>
      </w:r>
      <w:r w:rsidR="00E02D71">
        <w:rPr>
          <w:lang w:val="en-CA"/>
        </w:rPr>
        <w:t xml:space="preserve"> of high mineral prices and/or low cost</w:t>
      </w:r>
      <w:r w:rsidRPr="00010FBA">
        <w:rPr>
          <w:lang w:val="en-CA"/>
        </w:rPr>
        <w:t xml:space="preserve">s, profits would be higher, which would result in higher CIT payments, leaving the contractor with enough CIT to credit against the additional royalty, even if its CIT rate is much lower than 25%. As a result, the additional royalty </w:t>
      </w:r>
      <w:r w:rsidR="009A49A8">
        <w:rPr>
          <w:lang w:val="en-CA"/>
        </w:rPr>
        <w:t>would</w:t>
      </w:r>
      <w:r w:rsidR="009A49A8" w:rsidRPr="00010FBA">
        <w:rPr>
          <w:lang w:val="en-CA"/>
        </w:rPr>
        <w:t xml:space="preserve"> </w:t>
      </w:r>
      <w:r w:rsidRPr="00010FBA">
        <w:rPr>
          <w:lang w:val="en-CA"/>
        </w:rPr>
        <w:t>not</w:t>
      </w:r>
      <w:r w:rsidR="009A49A8">
        <w:rPr>
          <w:lang w:val="en-CA"/>
        </w:rPr>
        <w:t xml:space="preserve"> be</w:t>
      </w:r>
      <w:r w:rsidRPr="00010FBA">
        <w:rPr>
          <w:lang w:val="en-CA"/>
        </w:rPr>
        <w:t xml:space="preserve"> fulfilling its role as an equalization measure. </w:t>
      </w:r>
    </w:p>
    <w:p w14:paraId="508D588D" w14:textId="77777777" w:rsidR="000C6ABA" w:rsidRDefault="00471D67" w:rsidP="00993507">
      <w:pPr>
        <w:spacing w:before="100" w:beforeAutospacing="1" w:after="100" w:afterAutospacing="1" w:line="240" w:lineRule="auto"/>
        <w:rPr>
          <w:lang w:val="en-CA"/>
        </w:rPr>
      </w:pPr>
      <w:r w:rsidRPr="003A1CB0">
        <w:rPr>
          <w:lang w:val="en-CA"/>
        </w:rPr>
        <w:t xml:space="preserve">An alternative </w:t>
      </w:r>
      <w:r w:rsidRPr="00A1505E">
        <w:rPr>
          <w:lang w:val="en-CA"/>
        </w:rPr>
        <w:t>equali</w:t>
      </w:r>
      <w:r>
        <w:rPr>
          <w:lang w:val="en-CA"/>
        </w:rPr>
        <w:t>z</w:t>
      </w:r>
      <w:r w:rsidRPr="00A1505E">
        <w:rPr>
          <w:lang w:val="en-CA"/>
        </w:rPr>
        <w:t>ation</w:t>
      </w:r>
      <w:r w:rsidRPr="003A1CB0">
        <w:rPr>
          <w:lang w:val="en-CA"/>
        </w:rPr>
        <w:t xml:space="preserve"> measure would be to adopt an additional profit share in place of the additional royalty. </w:t>
      </w:r>
    </w:p>
    <w:p w14:paraId="374C629E" w14:textId="4D27EDCD" w:rsidR="000C6ABA" w:rsidRDefault="001F18B3" w:rsidP="00993507">
      <w:pPr>
        <w:spacing w:before="100" w:beforeAutospacing="1" w:after="100" w:afterAutospacing="1" w:line="240" w:lineRule="auto"/>
        <w:rPr>
          <w:lang w:val="en-CA"/>
        </w:rPr>
      </w:pPr>
      <w:r>
        <w:rPr>
          <w:lang w:val="en-CA"/>
        </w:rPr>
        <w:t xml:space="preserve">An additional profit share would take the form of a cash-flow tax, </w:t>
      </w:r>
      <w:r w:rsidR="000D7B57">
        <w:rPr>
          <w:lang w:val="en-CA"/>
        </w:rPr>
        <w:t>which belongs to the broader category of</w:t>
      </w:r>
      <w:r>
        <w:rPr>
          <w:lang w:val="en-CA"/>
        </w:rPr>
        <w:t xml:space="preserve"> resource rent taxes. </w:t>
      </w:r>
      <w:r w:rsidR="00375605">
        <w:rPr>
          <w:lang w:val="en-CA"/>
        </w:rPr>
        <w:t xml:space="preserve">A resource rent tax can take many forms, such as a profit-sharing contract. </w:t>
      </w:r>
      <w:r>
        <w:rPr>
          <w:lang w:val="en-CA"/>
        </w:rPr>
        <w:t xml:space="preserve">There </w:t>
      </w:r>
      <w:r w:rsidR="0045755E">
        <w:rPr>
          <w:lang w:val="en-CA"/>
        </w:rPr>
        <w:t>is an abundant literature on the eco</w:t>
      </w:r>
      <w:r w:rsidR="001268D9">
        <w:rPr>
          <w:lang w:val="en-CA"/>
        </w:rPr>
        <w:t>no</w:t>
      </w:r>
      <w:r w:rsidR="0045755E">
        <w:rPr>
          <w:lang w:val="en-CA"/>
        </w:rPr>
        <w:t xml:space="preserve">mics of such fiscal </w:t>
      </w:r>
      <w:r w:rsidR="001268D9">
        <w:rPr>
          <w:lang w:val="en-CA"/>
        </w:rPr>
        <w:t>instruments</w:t>
      </w:r>
      <w:r w:rsidR="0045755E">
        <w:rPr>
          <w:lang w:val="en-CA"/>
        </w:rPr>
        <w:t xml:space="preserve">, </w:t>
      </w:r>
      <w:proofErr w:type="gramStart"/>
      <w:r w:rsidR="0045755E">
        <w:rPr>
          <w:lang w:val="en-CA"/>
        </w:rPr>
        <w:t>in particular from</w:t>
      </w:r>
      <w:proofErr w:type="gramEnd"/>
      <w:r w:rsidR="0045755E">
        <w:rPr>
          <w:lang w:val="en-CA"/>
        </w:rPr>
        <w:t xml:space="preserve"> economists affiliated with the Internationa</w:t>
      </w:r>
      <w:r w:rsidR="001268D9">
        <w:rPr>
          <w:lang w:val="en-CA"/>
        </w:rPr>
        <w:t>l</w:t>
      </w:r>
      <w:r w:rsidR="0045755E">
        <w:rPr>
          <w:lang w:val="en-CA"/>
        </w:rPr>
        <w:t xml:space="preserve"> Monetary Fund</w:t>
      </w:r>
      <w:r w:rsidR="00251D1A">
        <w:rPr>
          <w:lang w:val="en-CA"/>
        </w:rPr>
        <w:t xml:space="preserve">. </w:t>
      </w:r>
      <w:r w:rsidR="00251D1A">
        <w:rPr>
          <w:rStyle w:val="FootnoteReference"/>
          <w:lang w:val="en-CA"/>
        </w:rPr>
        <w:footnoteReference w:id="1"/>
      </w:r>
      <w:r w:rsidR="001268D9">
        <w:rPr>
          <w:lang w:val="en-CA"/>
        </w:rPr>
        <w:t xml:space="preserve"> Many countries have adopted some version of a resource </w:t>
      </w:r>
      <w:r w:rsidR="00B322D9">
        <w:rPr>
          <w:lang w:val="en-CA"/>
        </w:rPr>
        <w:t xml:space="preserve">rent tax, </w:t>
      </w:r>
      <w:proofErr w:type="gramStart"/>
      <w:r w:rsidR="00B322D9">
        <w:rPr>
          <w:lang w:val="en-CA"/>
        </w:rPr>
        <w:t>in particular in</w:t>
      </w:r>
      <w:proofErr w:type="gramEnd"/>
      <w:r w:rsidR="00B322D9">
        <w:rPr>
          <w:lang w:val="en-CA"/>
        </w:rPr>
        <w:t xml:space="preserve"> the oil and gas sector, with varying degrees of success</w:t>
      </w:r>
      <w:r w:rsidR="00080EC5">
        <w:rPr>
          <w:lang w:val="en-CA"/>
        </w:rPr>
        <w:t xml:space="preserve"> (e.g., Angola, Australia, </w:t>
      </w:r>
      <w:r w:rsidR="00EC2D02">
        <w:rPr>
          <w:lang w:val="en-CA"/>
        </w:rPr>
        <w:t xml:space="preserve">Cook Islands, </w:t>
      </w:r>
      <w:r w:rsidR="00E10F2F">
        <w:rPr>
          <w:lang w:val="en-CA"/>
        </w:rPr>
        <w:t xml:space="preserve">Ghana, Guinea, Liberia, Malawi, Namibia, PNG, Sierra Leone, Timor </w:t>
      </w:r>
      <w:proofErr w:type="spellStart"/>
      <w:r w:rsidR="00E10F2F">
        <w:rPr>
          <w:lang w:val="en-CA"/>
        </w:rPr>
        <w:t>Leste</w:t>
      </w:r>
      <w:proofErr w:type="spellEnd"/>
      <w:r w:rsidR="00E10F2F">
        <w:rPr>
          <w:lang w:val="en-CA"/>
        </w:rPr>
        <w:t>)</w:t>
      </w:r>
      <w:r w:rsidR="00B322D9">
        <w:rPr>
          <w:lang w:val="en-CA"/>
        </w:rPr>
        <w:t xml:space="preserve">. </w:t>
      </w:r>
      <w:r w:rsidR="00B322D9">
        <w:rPr>
          <w:rStyle w:val="FootnoteReference"/>
          <w:lang w:val="en-CA"/>
        </w:rPr>
        <w:footnoteReference w:id="2"/>
      </w:r>
      <w:r w:rsidR="00B322D9">
        <w:rPr>
          <w:lang w:val="en-CA"/>
        </w:rPr>
        <w:t xml:space="preserve"> One reason some countries have abandoned resource rent</w:t>
      </w:r>
      <w:r w:rsidR="00375605">
        <w:rPr>
          <w:lang w:val="en-CA"/>
        </w:rPr>
        <w:t xml:space="preserve"> taxes is that</w:t>
      </w:r>
      <w:r w:rsidR="00A36716">
        <w:rPr>
          <w:lang w:val="en-CA"/>
        </w:rPr>
        <w:t xml:space="preserve"> these taxes are back loaded</w:t>
      </w:r>
      <w:r w:rsidR="00185700">
        <w:rPr>
          <w:lang w:val="en-CA"/>
        </w:rPr>
        <w:t>, i.e., they generate revenue late in the life of a project</w:t>
      </w:r>
      <w:r w:rsidR="000233C1">
        <w:rPr>
          <w:lang w:val="en-CA"/>
        </w:rPr>
        <w:t xml:space="preserve">. Countries tend to expect revenue earlier on from their extractive resources, as they rely on them for </w:t>
      </w:r>
      <w:r w:rsidR="00704BA6">
        <w:rPr>
          <w:lang w:val="en-CA"/>
        </w:rPr>
        <w:t xml:space="preserve">budget spending and public investments. But that characteristic makes a cash flow tax a good instrument </w:t>
      </w:r>
      <w:r w:rsidR="00A960DF">
        <w:rPr>
          <w:lang w:val="en-CA"/>
        </w:rPr>
        <w:t xml:space="preserve">as an equalization measure for the ISA. </w:t>
      </w:r>
      <w:r w:rsidR="004C75FE">
        <w:rPr>
          <w:lang w:val="en-CA"/>
        </w:rPr>
        <w:t>T</w:t>
      </w:r>
      <w:r w:rsidR="00A960DF">
        <w:rPr>
          <w:lang w:val="en-CA"/>
        </w:rPr>
        <w:t xml:space="preserve">he ISA will already be receiving </w:t>
      </w:r>
      <w:r w:rsidR="004C75FE">
        <w:rPr>
          <w:lang w:val="en-CA"/>
        </w:rPr>
        <w:t xml:space="preserve">revenue from royalties from the start of production, which should be its main source of funding. And </w:t>
      </w:r>
      <w:r w:rsidR="00AB15CC">
        <w:rPr>
          <w:lang w:val="en-CA"/>
        </w:rPr>
        <w:t>taking effect late in the life of a project will give contractors an opportunity to fi</w:t>
      </w:r>
      <w:r w:rsidR="000C7ECD">
        <w:rPr>
          <w:lang w:val="en-CA"/>
        </w:rPr>
        <w:t>r</w:t>
      </w:r>
      <w:r w:rsidR="00AB15CC">
        <w:rPr>
          <w:lang w:val="en-CA"/>
        </w:rPr>
        <w:t>st pay CIT in their sponsoring states</w:t>
      </w:r>
      <w:r w:rsidR="000C7ECD">
        <w:rPr>
          <w:lang w:val="en-CA"/>
        </w:rPr>
        <w:t xml:space="preserve">, even when </w:t>
      </w:r>
      <w:r w:rsidR="000C7ECD">
        <w:rPr>
          <w:lang w:val="en-CA"/>
        </w:rPr>
        <w:lastRenderedPageBreak/>
        <w:t>they benefit from accelerated depreciation or Research and Development tax incentives</w:t>
      </w:r>
      <w:r w:rsidR="002724EB">
        <w:rPr>
          <w:lang w:val="en-CA"/>
        </w:rPr>
        <w:t>, so that they have CIT credits to offset against the additional profit share</w:t>
      </w:r>
      <w:r w:rsidR="000C7ECD">
        <w:rPr>
          <w:lang w:val="en-CA"/>
        </w:rPr>
        <w:t>.</w:t>
      </w:r>
    </w:p>
    <w:p w14:paraId="51D36742" w14:textId="392DABA7" w:rsidR="00010FBA" w:rsidRDefault="00EB0D0E" w:rsidP="00993507">
      <w:pPr>
        <w:spacing w:before="100" w:beforeAutospacing="1" w:after="100" w:afterAutospacing="1" w:line="240" w:lineRule="auto"/>
        <w:rPr>
          <w:lang w:val="en-CA"/>
        </w:rPr>
      </w:pPr>
      <w:r>
        <w:rPr>
          <w:lang w:val="en-CA"/>
        </w:rPr>
        <w:t xml:space="preserve">This </w:t>
      </w:r>
      <w:r w:rsidR="001F18B3">
        <w:rPr>
          <w:lang w:val="en-CA"/>
        </w:rPr>
        <w:t xml:space="preserve">proposed additional profit share </w:t>
      </w:r>
      <w:r>
        <w:rPr>
          <w:lang w:val="en-CA"/>
        </w:rPr>
        <w:t>is explained below.</w:t>
      </w:r>
    </w:p>
    <w:p w14:paraId="7C83D71B" w14:textId="772B0D82" w:rsidR="00010FBA" w:rsidRPr="00EB0D0E" w:rsidRDefault="00EB0D0E" w:rsidP="00993507">
      <w:pPr>
        <w:pStyle w:val="Heading2"/>
        <w:numPr>
          <w:ilvl w:val="0"/>
          <w:numId w:val="3"/>
        </w:numPr>
        <w:spacing w:before="100" w:beforeAutospacing="1" w:after="100" w:afterAutospacing="1" w:line="240" w:lineRule="auto"/>
        <w:rPr>
          <w:b/>
          <w:bCs/>
          <w:lang w:val="en-CA"/>
        </w:rPr>
      </w:pPr>
      <w:r>
        <w:rPr>
          <w:b/>
          <w:bCs/>
          <w:lang w:val="en-CA"/>
        </w:rPr>
        <w:t xml:space="preserve">Additional </w:t>
      </w:r>
      <w:r w:rsidR="00010FBA" w:rsidRPr="00EB0D0E">
        <w:rPr>
          <w:b/>
          <w:bCs/>
          <w:lang w:val="en-CA"/>
        </w:rPr>
        <w:t>Profit Share</w:t>
      </w:r>
      <w:r>
        <w:rPr>
          <w:b/>
          <w:bCs/>
          <w:lang w:val="en-CA"/>
        </w:rPr>
        <w:t xml:space="preserve"> Explained</w:t>
      </w:r>
    </w:p>
    <w:p w14:paraId="56EE2DDD" w14:textId="06ED5054" w:rsidR="00471D67" w:rsidRPr="00902CCA" w:rsidRDefault="00471D67" w:rsidP="00993507">
      <w:pPr>
        <w:spacing w:before="100" w:beforeAutospacing="1" w:after="100" w:afterAutospacing="1" w:line="240" w:lineRule="auto"/>
        <w:rPr>
          <w:lang w:val="en-CA"/>
        </w:rPr>
      </w:pPr>
      <w:r w:rsidRPr="003A1CB0">
        <w:rPr>
          <w:lang w:val="en-CA"/>
        </w:rPr>
        <w:t>Contractor</w:t>
      </w:r>
      <w:r w:rsidRPr="00902CCA">
        <w:rPr>
          <w:lang w:val="en-CA"/>
        </w:rPr>
        <w:t xml:space="preserve">s would pay the ISA an additional profit share from which they could deduct the CIT </w:t>
      </w:r>
      <w:r w:rsidR="00010FBA">
        <w:rPr>
          <w:lang w:val="en-CA"/>
        </w:rPr>
        <w:t xml:space="preserve">(and potentially other taxes) </w:t>
      </w:r>
      <w:r w:rsidRPr="00902CCA">
        <w:rPr>
          <w:lang w:val="en-CA"/>
        </w:rPr>
        <w:t xml:space="preserve">paid to the </w:t>
      </w:r>
      <w:r>
        <w:rPr>
          <w:lang w:val="en-CA"/>
        </w:rPr>
        <w:t>s</w:t>
      </w:r>
      <w:r w:rsidRPr="00A1505E">
        <w:rPr>
          <w:lang w:val="en-CA"/>
        </w:rPr>
        <w:t xml:space="preserve">ponsoring </w:t>
      </w:r>
      <w:r>
        <w:rPr>
          <w:lang w:val="en-CA"/>
        </w:rPr>
        <w:t>s</w:t>
      </w:r>
      <w:r w:rsidRPr="00902CCA">
        <w:rPr>
          <w:lang w:val="en-CA"/>
        </w:rPr>
        <w:t xml:space="preserve">tate in the previous year </w:t>
      </w:r>
      <w:r>
        <w:rPr>
          <w:lang w:val="en-CA"/>
        </w:rPr>
        <w:t>along with</w:t>
      </w:r>
      <w:r w:rsidRPr="00902CCA">
        <w:rPr>
          <w:lang w:val="en-CA"/>
        </w:rPr>
        <w:t xml:space="preserve"> any amount of CIT paid to the </w:t>
      </w:r>
      <w:r>
        <w:rPr>
          <w:lang w:val="en-CA"/>
        </w:rPr>
        <w:t>s</w:t>
      </w:r>
      <w:r w:rsidRPr="00A1505E">
        <w:rPr>
          <w:lang w:val="en-CA"/>
        </w:rPr>
        <w:t xml:space="preserve">ponsoring </w:t>
      </w:r>
      <w:r>
        <w:rPr>
          <w:lang w:val="en-CA"/>
        </w:rPr>
        <w:t>s</w:t>
      </w:r>
      <w:r w:rsidRPr="00902CCA">
        <w:rPr>
          <w:lang w:val="en-CA"/>
        </w:rPr>
        <w:t>tate in previous years and not yet credited against the profit share (</w:t>
      </w:r>
      <w:r w:rsidR="009A49A8">
        <w:rPr>
          <w:lang w:val="en-CA"/>
        </w:rPr>
        <w:t xml:space="preserve">i.e., </w:t>
      </w:r>
      <w:r w:rsidRPr="00902CCA">
        <w:rPr>
          <w:lang w:val="en-CA"/>
        </w:rPr>
        <w:t>unlimited carry forwards</w:t>
      </w:r>
      <w:r w:rsidR="009A49A8">
        <w:rPr>
          <w:lang w:val="en-CA"/>
        </w:rPr>
        <w:t xml:space="preserve"> of CIT credits</w:t>
      </w:r>
      <w:r w:rsidRPr="00902CCA">
        <w:rPr>
          <w:lang w:val="en-CA"/>
        </w:rPr>
        <w:t xml:space="preserve">). </w:t>
      </w:r>
    </w:p>
    <w:p w14:paraId="11F2BEF6" w14:textId="0F8E7C0E" w:rsidR="00EB0D0E" w:rsidRDefault="00471D67" w:rsidP="00993507">
      <w:pPr>
        <w:spacing w:before="100" w:beforeAutospacing="1" w:after="100" w:afterAutospacing="1" w:line="240" w:lineRule="auto"/>
        <w:rPr>
          <w:lang w:val="en-CA"/>
        </w:rPr>
      </w:pPr>
      <w:r w:rsidRPr="00902CCA">
        <w:rPr>
          <w:lang w:val="en-CA"/>
        </w:rPr>
        <w:t xml:space="preserve">The additional profit share would be based on the contractor’s </w:t>
      </w:r>
      <w:r w:rsidRPr="00EB0D0E">
        <w:rPr>
          <w:b/>
          <w:bCs/>
          <w:lang w:val="en-CA"/>
        </w:rPr>
        <w:t>pre-tax cash flow</w:t>
      </w:r>
      <w:r w:rsidR="00C15294">
        <w:rPr>
          <w:b/>
          <w:bCs/>
          <w:lang w:val="en-CA"/>
        </w:rPr>
        <w:t>,</w:t>
      </w:r>
      <w:r w:rsidR="00EB0D0E">
        <w:rPr>
          <w:lang w:val="en-CA"/>
        </w:rPr>
        <w:t xml:space="preserve"> which </w:t>
      </w:r>
      <w:r w:rsidR="00C15294">
        <w:rPr>
          <w:lang w:val="en-CA"/>
        </w:rPr>
        <w:t xml:space="preserve">differs from the definition of income or profit under </w:t>
      </w:r>
      <w:r w:rsidR="001A6E72">
        <w:rPr>
          <w:lang w:val="en-CA"/>
        </w:rPr>
        <w:t>international accounting standards</w:t>
      </w:r>
      <w:r w:rsidR="001E3B9C">
        <w:rPr>
          <w:lang w:val="en-CA"/>
        </w:rPr>
        <w:t xml:space="preserve"> or various countries’ tax rules. T</w:t>
      </w:r>
      <w:r w:rsidR="00DC79D5">
        <w:rPr>
          <w:lang w:val="en-CA"/>
        </w:rPr>
        <w:t>he most important elements are the following</w:t>
      </w:r>
      <w:r w:rsidR="00EB0D0E">
        <w:rPr>
          <w:lang w:val="en-CA"/>
        </w:rPr>
        <w:t>:</w:t>
      </w:r>
    </w:p>
    <w:p w14:paraId="30267C13" w14:textId="1D59BA48" w:rsidR="00EB0D0E" w:rsidRDefault="002377A9" w:rsidP="00993507">
      <w:pPr>
        <w:pStyle w:val="ListParagraph"/>
        <w:numPr>
          <w:ilvl w:val="0"/>
          <w:numId w:val="2"/>
        </w:numPr>
        <w:spacing w:before="100" w:beforeAutospacing="1" w:after="100" w:afterAutospacing="1" w:line="240" w:lineRule="auto"/>
        <w:rPr>
          <w:lang w:val="en-CA"/>
        </w:rPr>
      </w:pPr>
      <w:r>
        <w:rPr>
          <w:lang w:val="en-CA"/>
        </w:rPr>
        <w:t>A</w:t>
      </w:r>
      <w:r w:rsidR="00747EC6">
        <w:rPr>
          <w:lang w:val="en-CA"/>
        </w:rPr>
        <w:t>ny cost incurred</w:t>
      </w:r>
      <w:r w:rsidR="00EC7599">
        <w:rPr>
          <w:lang w:val="en-CA"/>
        </w:rPr>
        <w:t xml:space="preserve"> during </w:t>
      </w:r>
      <w:r w:rsidR="00747EC6">
        <w:rPr>
          <w:lang w:val="en-CA"/>
        </w:rPr>
        <w:t>exploration, development or production</w:t>
      </w:r>
      <w:r>
        <w:rPr>
          <w:lang w:val="en-CA"/>
        </w:rPr>
        <w:t xml:space="preserve"> is expensed</w:t>
      </w:r>
      <w:r w:rsidR="00C066DE">
        <w:rPr>
          <w:lang w:val="en-CA"/>
        </w:rPr>
        <w:t xml:space="preserve"> in full as negative cash flow</w:t>
      </w:r>
      <w:r>
        <w:rPr>
          <w:lang w:val="en-CA"/>
        </w:rPr>
        <w:t xml:space="preserve"> </w:t>
      </w:r>
      <w:r w:rsidR="00C066DE">
        <w:rPr>
          <w:lang w:val="en-CA"/>
        </w:rPr>
        <w:t>when incurred</w:t>
      </w:r>
      <w:r w:rsidR="00EC7599">
        <w:rPr>
          <w:lang w:val="en-CA"/>
        </w:rPr>
        <w:t>. This includes</w:t>
      </w:r>
      <w:r w:rsidR="00EB0D0E">
        <w:rPr>
          <w:lang w:val="en-CA"/>
        </w:rPr>
        <w:t xml:space="preserve"> capital expenditure i.e., </w:t>
      </w:r>
      <w:r w:rsidR="00C066DE">
        <w:rPr>
          <w:lang w:val="en-CA"/>
        </w:rPr>
        <w:t>there is</w:t>
      </w:r>
      <w:r w:rsidR="007C3974">
        <w:rPr>
          <w:lang w:val="en-CA"/>
        </w:rPr>
        <w:t xml:space="preserve"> no</w:t>
      </w:r>
      <w:r w:rsidR="00EB0D0E">
        <w:rPr>
          <w:lang w:val="en-CA"/>
        </w:rPr>
        <w:t xml:space="preserve"> depreciatio</w:t>
      </w:r>
      <w:r w:rsidR="00C066DE">
        <w:rPr>
          <w:lang w:val="en-CA"/>
        </w:rPr>
        <w:t>n</w:t>
      </w:r>
      <w:r w:rsidR="007C3974">
        <w:rPr>
          <w:lang w:val="en-CA"/>
        </w:rPr>
        <w:t>. There is no capitalization, amortization</w:t>
      </w:r>
      <w:r w:rsidR="00646B81">
        <w:rPr>
          <w:lang w:val="en-CA"/>
        </w:rPr>
        <w:t>,</w:t>
      </w:r>
      <w:r w:rsidR="007C3974">
        <w:rPr>
          <w:lang w:val="en-CA"/>
        </w:rPr>
        <w:t xml:space="preserve"> or provisions either.</w:t>
      </w:r>
    </w:p>
    <w:p w14:paraId="1D0279C4" w14:textId="410E7457" w:rsidR="00EC7599" w:rsidRDefault="00DB3476" w:rsidP="00993507">
      <w:pPr>
        <w:pStyle w:val="ListParagraph"/>
        <w:numPr>
          <w:ilvl w:val="0"/>
          <w:numId w:val="2"/>
        </w:numPr>
        <w:spacing w:before="100" w:beforeAutospacing="1" w:after="100" w:afterAutospacing="1" w:line="240" w:lineRule="auto"/>
        <w:rPr>
          <w:lang w:val="en-CA"/>
        </w:rPr>
      </w:pPr>
      <w:r>
        <w:rPr>
          <w:lang w:val="en-CA"/>
        </w:rPr>
        <w:t>Sa</w:t>
      </w:r>
      <w:r w:rsidR="00EC7599">
        <w:rPr>
          <w:lang w:val="en-CA"/>
        </w:rPr>
        <w:t>les</w:t>
      </w:r>
      <w:r w:rsidR="006530D4">
        <w:rPr>
          <w:lang w:val="en-CA"/>
        </w:rPr>
        <w:t xml:space="preserve"> and other types of revenues are included</w:t>
      </w:r>
      <w:r>
        <w:rPr>
          <w:lang w:val="en-CA"/>
        </w:rPr>
        <w:t xml:space="preserve"> </w:t>
      </w:r>
      <w:r w:rsidR="002377A9">
        <w:rPr>
          <w:lang w:val="en-CA"/>
        </w:rPr>
        <w:t xml:space="preserve">as positive cash flow only </w:t>
      </w:r>
      <w:r>
        <w:rPr>
          <w:lang w:val="en-CA"/>
        </w:rPr>
        <w:t xml:space="preserve">when they are realized. </w:t>
      </w:r>
    </w:p>
    <w:p w14:paraId="2105DAA8" w14:textId="3C9C9057" w:rsidR="00EB0D0E" w:rsidRDefault="007C3974" w:rsidP="00993507">
      <w:pPr>
        <w:pStyle w:val="ListParagraph"/>
        <w:numPr>
          <w:ilvl w:val="0"/>
          <w:numId w:val="2"/>
        </w:numPr>
        <w:spacing w:before="100" w:beforeAutospacing="1" w:after="100" w:afterAutospacing="1" w:line="240" w:lineRule="auto"/>
        <w:rPr>
          <w:lang w:val="en-CA"/>
        </w:rPr>
      </w:pPr>
      <w:r>
        <w:rPr>
          <w:lang w:val="en-CA"/>
        </w:rPr>
        <w:t>T</w:t>
      </w:r>
      <w:r w:rsidR="00EB0D0E">
        <w:rPr>
          <w:lang w:val="en-CA"/>
        </w:rPr>
        <w:t xml:space="preserve">he cost of capital </w:t>
      </w:r>
      <w:r>
        <w:rPr>
          <w:lang w:val="en-CA"/>
        </w:rPr>
        <w:t xml:space="preserve">is approximated </w:t>
      </w:r>
      <w:r w:rsidR="00D37F80">
        <w:rPr>
          <w:lang w:val="en-CA"/>
        </w:rPr>
        <w:t xml:space="preserve">by applying </w:t>
      </w:r>
      <w:r w:rsidR="00EB0D0E">
        <w:rPr>
          <w:lang w:val="en-CA"/>
        </w:rPr>
        <w:t>an uplift on negative cashflows</w:t>
      </w:r>
      <w:r w:rsidR="002073D3">
        <w:rPr>
          <w:lang w:val="en-CA"/>
        </w:rPr>
        <w:t xml:space="preserve"> every year, </w:t>
      </w:r>
      <w:proofErr w:type="gramStart"/>
      <w:r w:rsidR="002073D3">
        <w:rPr>
          <w:lang w:val="en-CA"/>
        </w:rPr>
        <w:t>as long as</w:t>
      </w:r>
      <w:proofErr w:type="gramEnd"/>
      <w:r w:rsidR="002073D3">
        <w:rPr>
          <w:lang w:val="en-CA"/>
        </w:rPr>
        <w:t xml:space="preserve"> cash flows are negative</w:t>
      </w:r>
      <w:r w:rsidR="00D37F80">
        <w:rPr>
          <w:lang w:val="en-CA"/>
        </w:rPr>
        <w:t>. Therefore</w:t>
      </w:r>
      <w:r w:rsidR="002073D3">
        <w:rPr>
          <w:lang w:val="en-CA"/>
        </w:rPr>
        <w:t>,</w:t>
      </w:r>
      <w:r w:rsidR="00D37F80">
        <w:rPr>
          <w:lang w:val="en-CA"/>
        </w:rPr>
        <w:t xml:space="preserve"> </w:t>
      </w:r>
      <w:r w:rsidR="001F7901">
        <w:rPr>
          <w:lang w:val="en-CA"/>
        </w:rPr>
        <w:t xml:space="preserve">such a profit share would be designed like a resource rent tax. </w:t>
      </w:r>
      <w:r w:rsidR="002073D3">
        <w:rPr>
          <w:lang w:val="en-CA"/>
        </w:rPr>
        <w:t xml:space="preserve">This design implies that </w:t>
      </w:r>
      <w:r w:rsidR="001F7901">
        <w:rPr>
          <w:lang w:val="en-CA"/>
        </w:rPr>
        <w:t xml:space="preserve">interest expense </w:t>
      </w:r>
      <w:r w:rsidR="00E0107C">
        <w:rPr>
          <w:lang w:val="en-CA"/>
        </w:rPr>
        <w:t>is</w:t>
      </w:r>
      <w:r w:rsidR="007F724B">
        <w:rPr>
          <w:lang w:val="en-CA"/>
        </w:rPr>
        <w:t xml:space="preserve"> not a deductible cost. </w:t>
      </w:r>
      <w:r w:rsidR="00F40B3E">
        <w:rPr>
          <w:lang w:val="en-CA"/>
        </w:rPr>
        <w:t xml:space="preserve">This </w:t>
      </w:r>
      <w:r w:rsidR="007F724B">
        <w:rPr>
          <w:lang w:val="en-CA"/>
        </w:rPr>
        <w:t xml:space="preserve">structure is </w:t>
      </w:r>
      <w:r w:rsidR="00F40B3E">
        <w:rPr>
          <w:lang w:val="en-CA"/>
        </w:rPr>
        <w:t>common in the oil and gas sector</w:t>
      </w:r>
      <w:r w:rsidR="007F724B">
        <w:rPr>
          <w:lang w:val="en-CA"/>
        </w:rPr>
        <w:t xml:space="preserve"> and has the additional benefit of lowering the administrati</w:t>
      </w:r>
      <w:r w:rsidR="00E0107C">
        <w:rPr>
          <w:lang w:val="en-CA"/>
        </w:rPr>
        <w:t>ve</w:t>
      </w:r>
      <w:r w:rsidR="007F724B">
        <w:rPr>
          <w:lang w:val="en-CA"/>
        </w:rPr>
        <w:t xml:space="preserve"> burden </w:t>
      </w:r>
      <w:r w:rsidR="005403E1">
        <w:rPr>
          <w:lang w:val="en-CA"/>
        </w:rPr>
        <w:t>of auditing financing costs.</w:t>
      </w:r>
    </w:p>
    <w:p w14:paraId="21717FAE" w14:textId="02EC8727" w:rsidR="00C24119" w:rsidRDefault="00C24119" w:rsidP="00993507">
      <w:pPr>
        <w:spacing w:before="100" w:beforeAutospacing="1" w:after="100" w:afterAutospacing="1" w:line="240" w:lineRule="auto"/>
        <w:rPr>
          <w:lang w:val="en-CA"/>
        </w:rPr>
      </w:pPr>
      <w:r>
        <w:rPr>
          <w:lang w:val="en-CA"/>
        </w:rPr>
        <w:t xml:space="preserve">It is assumed that the </w:t>
      </w:r>
      <w:r w:rsidR="001D790E">
        <w:rPr>
          <w:lang w:val="en-CA"/>
        </w:rPr>
        <w:t xml:space="preserve">additional profit share will only apply to </w:t>
      </w:r>
      <w:r w:rsidR="006E283C">
        <w:rPr>
          <w:lang w:val="en-CA"/>
        </w:rPr>
        <w:t>contractors’ extraction</w:t>
      </w:r>
      <w:r w:rsidR="007B4ADE">
        <w:rPr>
          <w:lang w:val="en-CA"/>
        </w:rPr>
        <w:t xml:space="preserve"> or collection</w:t>
      </w:r>
      <w:r w:rsidR="006E283C">
        <w:rPr>
          <w:lang w:val="en-CA"/>
        </w:rPr>
        <w:t xml:space="preserve"> business in the Area</w:t>
      </w:r>
      <w:r w:rsidR="00831FC3">
        <w:rPr>
          <w:lang w:val="en-CA"/>
        </w:rPr>
        <w:t xml:space="preserve">. </w:t>
      </w:r>
      <w:proofErr w:type="gramStart"/>
      <w:r w:rsidR="00831FC3">
        <w:rPr>
          <w:lang w:val="en-CA"/>
        </w:rPr>
        <w:t>Therefore</w:t>
      </w:r>
      <w:proofErr w:type="gramEnd"/>
      <w:r w:rsidR="00831FC3">
        <w:rPr>
          <w:lang w:val="en-CA"/>
        </w:rPr>
        <w:t xml:space="preserve"> </w:t>
      </w:r>
      <w:r w:rsidR="00F8273B">
        <w:rPr>
          <w:lang w:val="en-CA"/>
        </w:rPr>
        <w:t>t</w:t>
      </w:r>
      <w:r w:rsidR="005167DB">
        <w:rPr>
          <w:lang w:val="en-CA"/>
        </w:rPr>
        <w:t xml:space="preserve">he extraction </w:t>
      </w:r>
      <w:r w:rsidR="007B4ADE">
        <w:rPr>
          <w:lang w:val="en-CA"/>
        </w:rPr>
        <w:t xml:space="preserve">or collection </w:t>
      </w:r>
      <w:r w:rsidR="005167DB">
        <w:rPr>
          <w:lang w:val="en-CA"/>
        </w:rPr>
        <w:t>business will be ring-fenced from other activities downstream, such as processing</w:t>
      </w:r>
      <w:r w:rsidR="00E509E2">
        <w:rPr>
          <w:lang w:val="en-CA"/>
        </w:rPr>
        <w:t>, when calculating pre-tax cashflows</w:t>
      </w:r>
      <w:r w:rsidR="00070608">
        <w:rPr>
          <w:lang w:val="en-CA"/>
        </w:rPr>
        <w:t xml:space="preserve">, and only CIT </w:t>
      </w:r>
      <w:r w:rsidR="00D67F27">
        <w:rPr>
          <w:lang w:val="en-CA"/>
        </w:rPr>
        <w:t xml:space="preserve">(and potentially other taxes) </w:t>
      </w:r>
      <w:r w:rsidR="00070608">
        <w:rPr>
          <w:lang w:val="en-CA"/>
        </w:rPr>
        <w:t xml:space="preserve">paid </w:t>
      </w:r>
      <w:r w:rsidR="00767E22">
        <w:rPr>
          <w:lang w:val="en-CA"/>
        </w:rPr>
        <w:t xml:space="preserve">on </w:t>
      </w:r>
      <w:r w:rsidR="00D67F27">
        <w:rPr>
          <w:lang w:val="en-CA"/>
        </w:rPr>
        <w:t>extraction-related profits would be creditable against the profit share.</w:t>
      </w:r>
    </w:p>
    <w:p w14:paraId="692D4B6A" w14:textId="4DD904D8" w:rsidR="00432BF0" w:rsidRPr="00432BF0" w:rsidRDefault="000A2F8A" w:rsidP="00993507">
      <w:pPr>
        <w:spacing w:before="100" w:beforeAutospacing="1" w:after="100" w:afterAutospacing="1" w:line="240" w:lineRule="auto"/>
        <w:rPr>
          <w:u w:val="single"/>
          <w:lang w:val="en-CA"/>
        </w:rPr>
      </w:pPr>
      <w:r>
        <w:rPr>
          <w:u w:val="single"/>
          <w:lang w:val="en-CA"/>
        </w:rPr>
        <w:t>Step-by-step</w:t>
      </w:r>
      <w:r w:rsidR="00432BF0" w:rsidRPr="00432BF0">
        <w:rPr>
          <w:u w:val="single"/>
          <w:lang w:val="en-CA"/>
        </w:rPr>
        <w:t xml:space="preserve"> </w:t>
      </w:r>
      <w:r w:rsidR="008B032E">
        <w:rPr>
          <w:u w:val="single"/>
          <w:lang w:val="en-CA"/>
        </w:rPr>
        <w:t>explanation</w:t>
      </w:r>
      <w:r>
        <w:rPr>
          <w:u w:val="single"/>
          <w:lang w:val="en-CA"/>
        </w:rPr>
        <w:t xml:space="preserve"> of </w:t>
      </w:r>
      <w:r w:rsidR="008B032E">
        <w:rPr>
          <w:u w:val="single"/>
          <w:lang w:val="en-CA"/>
        </w:rPr>
        <w:t>the additional profit share as an equalization measure</w:t>
      </w:r>
    </w:p>
    <w:p w14:paraId="4F4427E9" w14:textId="62E1756C" w:rsidR="00CB1AC8" w:rsidRDefault="008B032E" w:rsidP="00993507">
      <w:pPr>
        <w:pStyle w:val="ListParagraph"/>
        <w:numPr>
          <w:ilvl w:val="0"/>
          <w:numId w:val="4"/>
        </w:numPr>
        <w:spacing w:before="100" w:beforeAutospacing="1" w:after="100" w:afterAutospacing="1" w:line="240" w:lineRule="auto"/>
        <w:rPr>
          <w:b/>
          <w:bCs/>
          <w:lang w:val="en-CA"/>
        </w:rPr>
      </w:pPr>
      <w:r>
        <w:rPr>
          <w:b/>
          <w:bCs/>
          <w:lang w:val="en-CA"/>
        </w:rPr>
        <w:t>Defining the c</w:t>
      </w:r>
      <w:r w:rsidR="00CB1AC8" w:rsidRPr="00432BF0">
        <w:rPr>
          <w:b/>
          <w:bCs/>
          <w:lang w:val="en-CA"/>
        </w:rPr>
        <w:t>ollector</w:t>
      </w:r>
      <w:r>
        <w:rPr>
          <w:b/>
          <w:bCs/>
          <w:lang w:val="en-CA"/>
        </w:rPr>
        <w:t>’s</w:t>
      </w:r>
      <w:r w:rsidR="00CB1AC8" w:rsidRPr="00432BF0">
        <w:rPr>
          <w:b/>
          <w:bCs/>
          <w:lang w:val="en-CA"/>
        </w:rPr>
        <w:t xml:space="preserve"> pre-tax cashflow</w:t>
      </w:r>
    </w:p>
    <w:p w14:paraId="6AE1BCD8" w14:textId="00D7688D" w:rsidR="00993507" w:rsidRDefault="00993507" w:rsidP="00993507">
      <w:pPr>
        <w:spacing w:before="100" w:beforeAutospacing="1" w:after="100" w:afterAutospacing="1" w:line="240" w:lineRule="auto"/>
        <w:rPr>
          <w:rFonts w:ascii="Calibri" w:eastAsia="Times New Roman" w:hAnsi="Calibri" w:cs="Calibri"/>
          <w:u w:val="single"/>
          <w:lang w:eastAsia="en-GB"/>
        </w:rPr>
      </w:pPr>
      <w:proofErr w:type="gramStart"/>
      <w:r w:rsidRPr="00432BF0">
        <w:rPr>
          <w:rFonts w:ascii="Calibri" w:eastAsia="Times New Roman" w:hAnsi="Calibri" w:cs="Calibri"/>
          <w:u w:val="single"/>
          <w:lang w:eastAsia="en-GB"/>
        </w:rPr>
        <w:t xml:space="preserve">Revenue  </w:t>
      </w:r>
      <w:r>
        <w:rPr>
          <w:rFonts w:ascii="Calibri" w:eastAsia="Times New Roman" w:hAnsi="Calibri" w:cs="Calibri"/>
          <w:u w:val="single"/>
          <w:lang w:eastAsia="en-GB"/>
        </w:rPr>
        <w:t>:</w:t>
      </w:r>
      <w:proofErr w:type="gramEnd"/>
    </w:p>
    <w:p w14:paraId="76849CC7" w14:textId="77777777" w:rsidR="00993507" w:rsidRPr="00993507" w:rsidRDefault="00993507" w:rsidP="00993507">
      <w:pPr>
        <w:pStyle w:val="ListParagraph"/>
        <w:numPr>
          <w:ilvl w:val="0"/>
          <w:numId w:val="8"/>
        </w:numPr>
        <w:spacing w:before="100" w:beforeAutospacing="1" w:after="100" w:afterAutospacing="1" w:line="240" w:lineRule="auto"/>
        <w:outlineLvl w:val="0"/>
        <w:rPr>
          <w:rFonts w:ascii="Calibri" w:eastAsia="Times New Roman" w:hAnsi="Calibri" w:cs="Calibri"/>
          <w:lang w:eastAsia="en-GB"/>
        </w:rPr>
      </w:pPr>
      <w:r w:rsidRPr="00993507">
        <w:rPr>
          <w:rFonts w:ascii="Calibri" w:eastAsia="Times New Roman" w:hAnsi="Calibri" w:cs="Calibri"/>
          <w:lang w:eastAsia="en-GB"/>
        </w:rPr>
        <w:t xml:space="preserve">Realized revenue from nodule sales </w:t>
      </w:r>
    </w:p>
    <w:p w14:paraId="587F6671" w14:textId="77777777" w:rsidR="00993507" w:rsidRPr="00993507" w:rsidRDefault="00993507" w:rsidP="00993507">
      <w:pPr>
        <w:pStyle w:val="ListParagraph"/>
        <w:numPr>
          <w:ilvl w:val="0"/>
          <w:numId w:val="8"/>
        </w:numPr>
        <w:spacing w:before="100" w:beforeAutospacing="1" w:after="100" w:afterAutospacing="1" w:line="240" w:lineRule="auto"/>
        <w:outlineLvl w:val="0"/>
        <w:rPr>
          <w:rFonts w:ascii="Calibri" w:eastAsia="Times New Roman" w:hAnsi="Calibri" w:cs="Calibri"/>
          <w:lang w:eastAsia="en-GB"/>
        </w:rPr>
      </w:pPr>
      <w:r w:rsidRPr="00993507">
        <w:rPr>
          <w:rFonts w:ascii="Calibri" w:eastAsia="Times New Roman" w:hAnsi="Calibri" w:cs="Calibri"/>
          <w:lang w:eastAsia="en-GB"/>
        </w:rPr>
        <w:t>Revenue from selling any piece of equipment previously included as cost</w:t>
      </w:r>
    </w:p>
    <w:p w14:paraId="46FD17BE" w14:textId="2A89E979" w:rsidR="00993507" w:rsidRPr="00993507" w:rsidRDefault="00993507" w:rsidP="00993507">
      <w:pPr>
        <w:pStyle w:val="ListParagraph"/>
        <w:numPr>
          <w:ilvl w:val="0"/>
          <w:numId w:val="8"/>
        </w:numPr>
        <w:spacing w:before="100" w:beforeAutospacing="1" w:after="100" w:afterAutospacing="1" w:line="240" w:lineRule="auto"/>
        <w:rPr>
          <w:rFonts w:ascii="Calibri" w:eastAsia="Times New Roman" w:hAnsi="Calibri" w:cs="Calibri"/>
          <w:u w:val="single"/>
          <w:lang w:eastAsia="en-GB"/>
        </w:rPr>
      </w:pPr>
      <w:r w:rsidRPr="00993507">
        <w:rPr>
          <w:rFonts w:ascii="Calibri" w:eastAsia="Times New Roman" w:hAnsi="Calibri" w:cs="Calibri"/>
          <w:lang w:eastAsia="en-GB"/>
        </w:rPr>
        <w:t>Any other revenue from a company’s mineral extraction business in the Area.</w:t>
      </w:r>
    </w:p>
    <w:p w14:paraId="02AF3695" w14:textId="4DA99CA5" w:rsidR="00993507" w:rsidRDefault="00993507" w:rsidP="00993507">
      <w:pPr>
        <w:spacing w:before="100" w:beforeAutospacing="1" w:after="100" w:afterAutospacing="1" w:line="240" w:lineRule="auto"/>
        <w:rPr>
          <w:rFonts w:ascii="Calibri" w:eastAsia="Times New Roman" w:hAnsi="Calibri" w:cs="Calibri"/>
          <w:u w:val="single"/>
          <w:lang w:eastAsia="en-GB"/>
        </w:rPr>
      </w:pPr>
      <w:r w:rsidRPr="002A5BB7">
        <w:rPr>
          <w:rFonts w:ascii="Calibri" w:eastAsia="Times New Roman" w:hAnsi="Calibri" w:cs="Calibri"/>
          <w:u w:val="single"/>
          <w:lang w:eastAsia="en-GB"/>
        </w:rPr>
        <w:t xml:space="preserve">Less </w:t>
      </w:r>
      <w:r w:rsidRPr="00432BF0">
        <w:rPr>
          <w:rFonts w:ascii="Calibri" w:eastAsia="Times New Roman" w:hAnsi="Calibri" w:cs="Calibri"/>
          <w:u w:val="single"/>
          <w:lang w:eastAsia="en-GB"/>
        </w:rPr>
        <w:t>Collector costs</w:t>
      </w:r>
      <w:r>
        <w:rPr>
          <w:rFonts w:ascii="Calibri" w:eastAsia="Times New Roman" w:hAnsi="Calibri" w:cs="Calibri"/>
          <w:u w:val="single"/>
          <w:lang w:eastAsia="en-GB"/>
        </w:rPr>
        <w:t>:</w:t>
      </w:r>
    </w:p>
    <w:p w14:paraId="5284E1D9" w14:textId="77777777" w:rsidR="00993507" w:rsidRPr="00993507" w:rsidRDefault="00993507" w:rsidP="00993507">
      <w:pPr>
        <w:pStyle w:val="ListParagraph"/>
        <w:numPr>
          <w:ilvl w:val="0"/>
          <w:numId w:val="9"/>
        </w:numPr>
        <w:spacing w:before="100" w:beforeAutospacing="1" w:after="100" w:afterAutospacing="1" w:line="240" w:lineRule="auto"/>
      </w:pPr>
      <w:r w:rsidRPr="00993507">
        <w:t xml:space="preserve">Operating costs </w:t>
      </w:r>
    </w:p>
    <w:p w14:paraId="4ED91813" w14:textId="455E01D7" w:rsidR="00993507" w:rsidRPr="00993507" w:rsidRDefault="00993507" w:rsidP="00993507">
      <w:pPr>
        <w:pStyle w:val="ListParagraph"/>
        <w:numPr>
          <w:ilvl w:val="0"/>
          <w:numId w:val="9"/>
        </w:numPr>
        <w:spacing w:before="100" w:beforeAutospacing="1" w:after="100" w:afterAutospacing="1" w:line="240" w:lineRule="auto"/>
      </w:pPr>
      <w:r w:rsidRPr="00993507">
        <w:t xml:space="preserve">Capital expenditure </w:t>
      </w:r>
    </w:p>
    <w:p w14:paraId="797D6D5C" w14:textId="7709D225" w:rsidR="00993507" w:rsidRPr="00993507" w:rsidRDefault="00993507" w:rsidP="00993507">
      <w:pPr>
        <w:pStyle w:val="ListParagraph"/>
        <w:numPr>
          <w:ilvl w:val="0"/>
          <w:numId w:val="9"/>
        </w:numPr>
        <w:spacing w:before="100" w:beforeAutospacing="1" w:after="100" w:afterAutospacing="1" w:line="240" w:lineRule="auto"/>
      </w:pPr>
      <w:r w:rsidRPr="00993507">
        <w:t>Capex Maintenance cost</w:t>
      </w:r>
    </w:p>
    <w:p w14:paraId="5BD9682B" w14:textId="0D2822BE" w:rsidR="00993507" w:rsidRPr="00993507" w:rsidRDefault="00993507" w:rsidP="00993507">
      <w:pPr>
        <w:pStyle w:val="ListParagraph"/>
        <w:numPr>
          <w:ilvl w:val="0"/>
          <w:numId w:val="9"/>
        </w:numPr>
        <w:spacing w:before="100" w:beforeAutospacing="1" w:after="100" w:afterAutospacing="1" w:line="240" w:lineRule="auto"/>
      </w:pPr>
      <w:r w:rsidRPr="00993507">
        <w:t xml:space="preserve">Site Restoration Cost </w:t>
      </w:r>
    </w:p>
    <w:p w14:paraId="3E7E1C4D" w14:textId="42A9137D" w:rsidR="00993507" w:rsidRPr="00993507" w:rsidRDefault="00993507" w:rsidP="00993507">
      <w:pPr>
        <w:pStyle w:val="ListParagraph"/>
        <w:numPr>
          <w:ilvl w:val="0"/>
          <w:numId w:val="9"/>
        </w:numPr>
        <w:spacing w:before="100" w:beforeAutospacing="1" w:after="100" w:afterAutospacing="1" w:line="240" w:lineRule="auto"/>
      </w:pPr>
      <w:r w:rsidRPr="00993507">
        <w:t xml:space="preserve">Exploration &amp; Exploitation fees to ISA </w:t>
      </w:r>
    </w:p>
    <w:p w14:paraId="7A14F024" w14:textId="0A992D2B" w:rsidR="00993507" w:rsidRDefault="00993507" w:rsidP="00993507">
      <w:pPr>
        <w:pStyle w:val="ListParagraph"/>
        <w:numPr>
          <w:ilvl w:val="0"/>
          <w:numId w:val="9"/>
        </w:numPr>
        <w:spacing w:before="100" w:beforeAutospacing="1" w:after="100" w:afterAutospacing="1" w:line="240" w:lineRule="auto"/>
      </w:pPr>
      <w:r w:rsidRPr="00993507">
        <w:lastRenderedPageBreak/>
        <w:t>Royalty to ISA (Option 4)</w:t>
      </w:r>
    </w:p>
    <w:p w14:paraId="037B91DF" w14:textId="77777777" w:rsidR="0054152B" w:rsidRPr="00993507" w:rsidRDefault="0054152B" w:rsidP="00993507">
      <w:pPr>
        <w:pStyle w:val="ListParagraph"/>
        <w:spacing w:before="100" w:beforeAutospacing="1" w:after="100" w:afterAutospacing="1" w:line="240" w:lineRule="auto"/>
      </w:pPr>
    </w:p>
    <w:p w14:paraId="1B1E21C0" w14:textId="29A1F44D" w:rsidR="00432BF0" w:rsidRDefault="00432BF0" w:rsidP="00993507">
      <w:pPr>
        <w:pStyle w:val="ListParagraph"/>
        <w:numPr>
          <w:ilvl w:val="0"/>
          <w:numId w:val="4"/>
        </w:numPr>
        <w:spacing w:before="100" w:beforeAutospacing="1" w:after="100" w:afterAutospacing="1" w:line="240" w:lineRule="auto"/>
        <w:rPr>
          <w:b/>
          <w:bCs/>
          <w:lang w:val="en-CA"/>
        </w:rPr>
      </w:pPr>
      <w:r w:rsidRPr="002A5BB7">
        <w:rPr>
          <w:b/>
          <w:bCs/>
          <w:lang w:val="en-CA"/>
        </w:rPr>
        <w:t>C</w:t>
      </w:r>
      <w:r w:rsidR="00615C65">
        <w:rPr>
          <w:b/>
          <w:bCs/>
          <w:lang w:val="en-CA"/>
        </w:rPr>
        <w:t>alculating the c</w:t>
      </w:r>
      <w:r w:rsidRPr="002A5BB7">
        <w:rPr>
          <w:b/>
          <w:bCs/>
          <w:lang w:val="en-CA"/>
        </w:rPr>
        <w:t>ollector</w:t>
      </w:r>
      <w:r w:rsidR="00615C65">
        <w:rPr>
          <w:b/>
          <w:bCs/>
          <w:lang w:val="en-CA"/>
        </w:rPr>
        <w:t>’s</w:t>
      </w:r>
      <w:r w:rsidRPr="002A5BB7">
        <w:rPr>
          <w:b/>
          <w:bCs/>
          <w:lang w:val="en-CA"/>
        </w:rPr>
        <w:t xml:space="preserve"> </w:t>
      </w:r>
      <w:r w:rsidRPr="002A5BB7">
        <w:rPr>
          <w:b/>
          <w:bCs/>
          <w:u w:val="single"/>
          <w:lang w:val="en-CA"/>
        </w:rPr>
        <w:t>cumulative</w:t>
      </w:r>
      <w:r w:rsidRPr="002A5BB7">
        <w:rPr>
          <w:b/>
          <w:bCs/>
          <w:lang w:val="en-CA"/>
        </w:rPr>
        <w:t xml:space="preserve"> pre-tax cashflow </w:t>
      </w:r>
    </w:p>
    <w:tbl>
      <w:tblPr>
        <w:tblStyle w:val="TableGrid"/>
        <w:tblW w:w="0" w:type="auto"/>
        <w:tblLook w:val="04A0" w:firstRow="1" w:lastRow="0" w:firstColumn="1" w:lastColumn="0" w:noHBand="0" w:noVBand="1"/>
      </w:tblPr>
      <w:tblGrid>
        <w:gridCol w:w="805"/>
        <w:gridCol w:w="2160"/>
        <w:gridCol w:w="3150"/>
        <w:gridCol w:w="2901"/>
      </w:tblGrid>
      <w:tr w:rsidR="00970DF1" w14:paraId="4E968633" w14:textId="2E4A15C2" w:rsidTr="0054152B">
        <w:tc>
          <w:tcPr>
            <w:tcW w:w="805" w:type="dxa"/>
            <w:vAlign w:val="center"/>
          </w:tcPr>
          <w:p w14:paraId="44B39DD9" w14:textId="77777777" w:rsidR="00970DF1" w:rsidRDefault="00970DF1" w:rsidP="0054152B">
            <w:pPr>
              <w:spacing w:before="100" w:beforeAutospacing="1" w:after="100" w:afterAutospacing="1"/>
              <w:jc w:val="center"/>
              <w:rPr>
                <w:b/>
                <w:bCs/>
                <w:lang w:val="en-CA"/>
              </w:rPr>
            </w:pPr>
          </w:p>
        </w:tc>
        <w:tc>
          <w:tcPr>
            <w:tcW w:w="2160" w:type="dxa"/>
            <w:vAlign w:val="center"/>
          </w:tcPr>
          <w:p w14:paraId="39BB656D" w14:textId="1A2965E8" w:rsidR="00970DF1" w:rsidRDefault="00970DF1" w:rsidP="0054152B">
            <w:pPr>
              <w:spacing w:before="100" w:beforeAutospacing="1" w:after="100" w:afterAutospacing="1"/>
              <w:jc w:val="center"/>
              <w:rPr>
                <w:b/>
                <w:bCs/>
                <w:lang w:val="en-CA"/>
              </w:rPr>
            </w:pPr>
            <w:r>
              <w:rPr>
                <w:b/>
                <w:bCs/>
                <w:lang w:val="en-CA"/>
              </w:rPr>
              <w:t>Collector pre-tax cashflow</w:t>
            </w:r>
          </w:p>
        </w:tc>
        <w:tc>
          <w:tcPr>
            <w:tcW w:w="3150" w:type="dxa"/>
            <w:vAlign w:val="center"/>
          </w:tcPr>
          <w:p w14:paraId="652EC709" w14:textId="6E38EEAF" w:rsidR="00970DF1" w:rsidRDefault="00970DF1" w:rsidP="0054152B">
            <w:pPr>
              <w:spacing w:before="100" w:beforeAutospacing="1" w:after="100" w:afterAutospacing="1"/>
              <w:jc w:val="center"/>
              <w:rPr>
                <w:b/>
                <w:bCs/>
                <w:lang w:val="en-CA"/>
              </w:rPr>
            </w:pPr>
            <w:r>
              <w:rPr>
                <w:b/>
                <w:bCs/>
                <w:lang w:val="en-CA"/>
              </w:rPr>
              <w:t>Uplift on negative cashflows</w:t>
            </w:r>
          </w:p>
        </w:tc>
        <w:tc>
          <w:tcPr>
            <w:tcW w:w="2901" w:type="dxa"/>
            <w:shd w:val="clear" w:color="auto" w:fill="F2F2F2" w:themeFill="background1" w:themeFillShade="F2"/>
            <w:vAlign w:val="center"/>
          </w:tcPr>
          <w:p w14:paraId="6B318226" w14:textId="63C9DE3A" w:rsidR="00970DF1" w:rsidRDefault="00970DF1" w:rsidP="0054152B">
            <w:pPr>
              <w:spacing w:before="100" w:beforeAutospacing="1" w:after="100" w:afterAutospacing="1"/>
              <w:jc w:val="center"/>
              <w:rPr>
                <w:b/>
                <w:bCs/>
                <w:lang w:val="en-CA"/>
              </w:rPr>
            </w:pPr>
            <w:r>
              <w:rPr>
                <w:b/>
                <w:bCs/>
                <w:lang w:val="en-CA"/>
              </w:rPr>
              <w:t>Cumulative pre-tax cashflow</w:t>
            </w:r>
          </w:p>
        </w:tc>
      </w:tr>
      <w:tr w:rsidR="00970DF1" w14:paraId="134C4348" w14:textId="7EE777D6" w:rsidTr="0054152B">
        <w:trPr>
          <w:trHeight w:val="908"/>
        </w:trPr>
        <w:tc>
          <w:tcPr>
            <w:tcW w:w="805" w:type="dxa"/>
            <w:vAlign w:val="center"/>
          </w:tcPr>
          <w:p w14:paraId="7FA73BDF" w14:textId="10A44528" w:rsidR="00970DF1" w:rsidRDefault="00970DF1" w:rsidP="0054152B">
            <w:pPr>
              <w:spacing w:before="100" w:beforeAutospacing="1" w:after="100" w:afterAutospacing="1"/>
              <w:jc w:val="center"/>
              <w:rPr>
                <w:b/>
                <w:bCs/>
                <w:lang w:val="en-CA"/>
              </w:rPr>
            </w:pPr>
            <w:r>
              <w:rPr>
                <w:b/>
                <w:bCs/>
                <w:lang w:val="en-CA"/>
              </w:rPr>
              <w:t>Year 1</w:t>
            </w:r>
          </w:p>
        </w:tc>
        <w:tc>
          <w:tcPr>
            <w:tcW w:w="2160" w:type="dxa"/>
            <w:vAlign w:val="center"/>
          </w:tcPr>
          <w:p w14:paraId="4DB0E90D" w14:textId="61A2F0FB" w:rsidR="00970DF1" w:rsidRDefault="00970DF1" w:rsidP="0054152B">
            <w:pPr>
              <w:spacing w:before="100" w:beforeAutospacing="1" w:after="100" w:afterAutospacing="1"/>
              <w:jc w:val="center"/>
              <w:rPr>
                <w:b/>
                <w:bCs/>
                <w:lang w:val="en-CA"/>
              </w:rPr>
            </w:pPr>
            <w:r w:rsidRPr="00AA2B26">
              <w:rPr>
                <w:lang w:val="en-CA"/>
              </w:rPr>
              <w:t>C</w:t>
            </w:r>
            <w:r>
              <w:rPr>
                <w:lang w:val="en-CA"/>
              </w:rPr>
              <w:t>F1 = C</w:t>
            </w:r>
            <w:r w:rsidRPr="00AA2B26">
              <w:rPr>
                <w:lang w:val="en-CA"/>
              </w:rPr>
              <w:t xml:space="preserve">ollector pre-tax cashflow </w:t>
            </w:r>
            <w:r>
              <w:rPr>
                <w:lang w:val="en-CA"/>
              </w:rPr>
              <w:t xml:space="preserve">in year 1 </w:t>
            </w:r>
            <w:r w:rsidRPr="00AA2B26">
              <w:rPr>
                <w:lang w:val="en-CA"/>
              </w:rPr>
              <w:t>(see Step 1)</w:t>
            </w:r>
          </w:p>
        </w:tc>
        <w:tc>
          <w:tcPr>
            <w:tcW w:w="3150" w:type="dxa"/>
            <w:vAlign w:val="center"/>
          </w:tcPr>
          <w:p w14:paraId="16E96820" w14:textId="4AC21DDA" w:rsidR="00970DF1" w:rsidRPr="00E526C9" w:rsidRDefault="00970DF1" w:rsidP="0054152B">
            <w:pPr>
              <w:spacing w:before="100" w:beforeAutospacing="1" w:after="100" w:afterAutospacing="1"/>
              <w:jc w:val="center"/>
              <w:rPr>
                <w:lang w:val="en-CA"/>
              </w:rPr>
            </w:pPr>
            <w:r w:rsidRPr="00E526C9">
              <w:rPr>
                <w:lang w:val="en-CA"/>
              </w:rPr>
              <w:t>N/A</w:t>
            </w:r>
          </w:p>
        </w:tc>
        <w:tc>
          <w:tcPr>
            <w:tcW w:w="2901" w:type="dxa"/>
            <w:shd w:val="clear" w:color="auto" w:fill="F2F2F2" w:themeFill="background1" w:themeFillShade="F2"/>
            <w:vAlign w:val="center"/>
          </w:tcPr>
          <w:p w14:paraId="10ED54BE" w14:textId="5E518DA7" w:rsidR="00970DF1" w:rsidRDefault="00615C65" w:rsidP="0054152B">
            <w:pPr>
              <w:spacing w:before="100" w:beforeAutospacing="1" w:after="100" w:afterAutospacing="1"/>
              <w:jc w:val="center"/>
              <w:rPr>
                <w:b/>
                <w:bCs/>
                <w:lang w:val="en-CA"/>
              </w:rPr>
            </w:pPr>
            <w:r w:rsidRPr="00831A80">
              <w:rPr>
                <w:lang w:val="en-CA"/>
              </w:rPr>
              <w:t>CCF</w:t>
            </w:r>
            <w:r>
              <w:rPr>
                <w:lang w:val="en-CA"/>
              </w:rPr>
              <w:t>1</w:t>
            </w:r>
            <w:r w:rsidRPr="00831A80">
              <w:rPr>
                <w:lang w:val="en-CA"/>
              </w:rPr>
              <w:t xml:space="preserve"> = </w:t>
            </w:r>
            <w:r w:rsidR="00970DF1" w:rsidRPr="009A7F86">
              <w:rPr>
                <w:lang w:val="en-CA"/>
              </w:rPr>
              <w:t>Cumulative pre-tax cashflow in year 1 = CF1</w:t>
            </w:r>
          </w:p>
        </w:tc>
      </w:tr>
      <w:tr w:rsidR="00970DF1" w14:paraId="2070A8D9" w14:textId="17A9CB75" w:rsidTr="0054152B">
        <w:trPr>
          <w:trHeight w:val="980"/>
        </w:trPr>
        <w:tc>
          <w:tcPr>
            <w:tcW w:w="805" w:type="dxa"/>
            <w:vAlign w:val="center"/>
          </w:tcPr>
          <w:p w14:paraId="6FBDE8B6" w14:textId="16E10DD6" w:rsidR="00970DF1" w:rsidRDefault="002135C1" w:rsidP="0054152B">
            <w:pPr>
              <w:spacing w:before="100" w:beforeAutospacing="1" w:after="100" w:afterAutospacing="1"/>
              <w:jc w:val="center"/>
              <w:rPr>
                <w:b/>
                <w:bCs/>
                <w:lang w:val="en-CA"/>
              </w:rPr>
            </w:pPr>
            <w:r>
              <w:rPr>
                <w:b/>
                <w:bCs/>
                <w:lang w:val="en-CA"/>
              </w:rPr>
              <w:t>Year 2</w:t>
            </w:r>
          </w:p>
        </w:tc>
        <w:tc>
          <w:tcPr>
            <w:tcW w:w="2160" w:type="dxa"/>
            <w:vAlign w:val="center"/>
          </w:tcPr>
          <w:p w14:paraId="639579DD" w14:textId="4141A36B" w:rsidR="00970DF1" w:rsidRPr="0054152B" w:rsidRDefault="00970DF1" w:rsidP="0054152B">
            <w:pPr>
              <w:spacing w:before="100" w:beforeAutospacing="1" w:after="100" w:afterAutospacing="1"/>
              <w:jc w:val="center"/>
              <w:rPr>
                <w:lang w:val="en-CA"/>
              </w:rPr>
            </w:pPr>
            <w:r>
              <w:rPr>
                <w:lang w:val="en-CA"/>
              </w:rPr>
              <w:t xml:space="preserve">CF2 = </w:t>
            </w:r>
            <w:r w:rsidRPr="00AA2B26">
              <w:rPr>
                <w:lang w:val="en-CA"/>
              </w:rPr>
              <w:t xml:space="preserve">Collector pre-tax cashflow </w:t>
            </w:r>
            <w:r>
              <w:rPr>
                <w:lang w:val="en-CA"/>
              </w:rPr>
              <w:t xml:space="preserve">in year 2 </w:t>
            </w:r>
            <w:r w:rsidRPr="00AA2B26">
              <w:rPr>
                <w:lang w:val="en-CA"/>
              </w:rPr>
              <w:t>(see Step 1)</w:t>
            </w:r>
          </w:p>
        </w:tc>
        <w:tc>
          <w:tcPr>
            <w:tcW w:w="3150" w:type="dxa"/>
            <w:vAlign w:val="center"/>
          </w:tcPr>
          <w:p w14:paraId="7870F4EA" w14:textId="21654A19" w:rsidR="00970DF1" w:rsidRPr="00E526C9" w:rsidRDefault="006D6706" w:rsidP="0054152B">
            <w:pPr>
              <w:spacing w:before="100" w:beforeAutospacing="1" w:after="100" w:afterAutospacing="1"/>
              <w:jc w:val="center"/>
              <w:rPr>
                <w:lang w:val="en-CA"/>
              </w:rPr>
            </w:pPr>
            <w:r w:rsidRPr="00E526C9">
              <w:rPr>
                <w:lang w:val="en-CA"/>
              </w:rPr>
              <w:t>U1 = Cumulative pre-tax cashflow in year 1 multiplied by X% if CCF1 &lt; 0, otherwise U1 = 0</w:t>
            </w:r>
          </w:p>
        </w:tc>
        <w:tc>
          <w:tcPr>
            <w:tcW w:w="2901" w:type="dxa"/>
            <w:shd w:val="clear" w:color="auto" w:fill="F2F2F2" w:themeFill="background1" w:themeFillShade="F2"/>
            <w:vAlign w:val="center"/>
          </w:tcPr>
          <w:p w14:paraId="67EF0C96" w14:textId="1B987323" w:rsidR="00970DF1" w:rsidRPr="0054152B" w:rsidRDefault="006D6706" w:rsidP="0054152B">
            <w:pPr>
              <w:spacing w:before="100" w:beforeAutospacing="1" w:after="100" w:afterAutospacing="1"/>
              <w:jc w:val="center"/>
              <w:rPr>
                <w:lang w:val="en-CA"/>
              </w:rPr>
            </w:pPr>
            <w:r w:rsidRPr="00831A80">
              <w:rPr>
                <w:lang w:val="en-CA"/>
              </w:rPr>
              <w:t>CCF</w:t>
            </w:r>
            <w:r>
              <w:rPr>
                <w:lang w:val="en-CA"/>
              </w:rPr>
              <w:t>2</w:t>
            </w:r>
            <w:r w:rsidRPr="00831A80">
              <w:rPr>
                <w:lang w:val="en-CA"/>
              </w:rPr>
              <w:t xml:space="preserve"> = Cumulative pre-tax cashflow in year </w:t>
            </w:r>
            <w:r>
              <w:rPr>
                <w:lang w:val="en-CA"/>
              </w:rPr>
              <w:t>2</w:t>
            </w:r>
            <w:r w:rsidRPr="00831A80">
              <w:rPr>
                <w:lang w:val="en-CA"/>
              </w:rPr>
              <w:t xml:space="preserve"> = C</w:t>
            </w:r>
            <w:r>
              <w:rPr>
                <w:lang w:val="en-CA"/>
              </w:rPr>
              <w:t>C</w:t>
            </w:r>
            <w:r w:rsidRPr="00831A80">
              <w:rPr>
                <w:lang w:val="en-CA"/>
              </w:rPr>
              <w:t xml:space="preserve">F1 </w:t>
            </w:r>
            <w:r>
              <w:rPr>
                <w:lang w:val="en-CA"/>
              </w:rPr>
              <w:t xml:space="preserve">+ </w:t>
            </w:r>
            <w:r w:rsidRPr="00831A80">
              <w:rPr>
                <w:lang w:val="en-CA"/>
              </w:rPr>
              <w:t>U</w:t>
            </w:r>
            <w:r>
              <w:rPr>
                <w:lang w:val="en-CA"/>
              </w:rPr>
              <w:t xml:space="preserve">1 </w:t>
            </w:r>
            <w:r w:rsidRPr="00831A80">
              <w:rPr>
                <w:lang w:val="en-CA"/>
              </w:rPr>
              <w:t>+</w:t>
            </w:r>
            <w:r>
              <w:rPr>
                <w:lang w:val="en-CA"/>
              </w:rPr>
              <w:t xml:space="preserve"> CF2</w:t>
            </w:r>
          </w:p>
        </w:tc>
      </w:tr>
      <w:tr w:rsidR="00970DF1" w14:paraId="07EECA4F" w14:textId="39DADA27" w:rsidTr="0054152B">
        <w:trPr>
          <w:trHeight w:val="1160"/>
        </w:trPr>
        <w:tc>
          <w:tcPr>
            <w:tcW w:w="805" w:type="dxa"/>
            <w:vAlign w:val="center"/>
          </w:tcPr>
          <w:p w14:paraId="1D0A5FC8" w14:textId="215BB1A9" w:rsidR="00970DF1" w:rsidRDefault="002135C1" w:rsidP="0054152B">
            <w:pPr>
              <w:spacing w:before="100" w:beforeAutospacing="1" w:after="100" w:afterAutospacing="1"/>
              <w:jc w:val="center"/>
              <w:rPr>
                <w:b/>
                <w:bCs/>
                <w:lang w:val="en-CA"/>
              </w:rPr>
            </w:pPr>
            <w:r>
              <w:rPr>
                <w:b/>
                <w:bCs/>
                <w:lang w:val="en-CA"/>
              </w:rPr>
              <w:t>Year n</w:t>
            </w:r>
          </w:p>
        </w:tc>
        <w:tc>
          <w:tcPr>
            <w:tcW w:w="2160" w:type="dxa"/>
            <w:vAlign w:val="center"/>
          </w:tcPr>
          <w:p w14:paraId="3209320E" w14:textId="227D4A23" w:rsidR="00970DF1" w:rsidRPr="0054152B" w:rsidRDefault="006D6706" w:rsidP="0054152B">
            <w:pPr>
              <w:spacing w:before="100" w:beforeAutospacing="1" w:after="100" w:afterAutospacing="1"/>
              <w:jc w:val="center"/>
              <w:rPr>
                <w:lang w:val="en-CA"/>
              </w:rPr>
            </w:pPr>
            <w:proofErr w:type="spellStart"/>
            <w:r>
              <w:rPr>
                <w:lang w:val="en-CA"/>
              </w:rPr>
              <w:t>CFn</w:t>
            </w:r>
            <w:proofErr w:type="spellEnd"/>
            <w:r>
              <w:rPr>
                <w:lang w:val="en-CA"/>
              </w:rPr>
              <w:t xml:space="preserve"> = </w:t>
            </w:r>
            <w:r w:rsidRPr="00AA2B26">
              <w:rPr>
                <w:lang w:val="en-CA"/>
              </w:rPr>
              <w:t xml:space="preserve">Collector pre-tax cashflow </w:t>
            </w:r>
            <w:r>
              <w:rPr>
                <w:lang w:val="en-CA"/>
              </w:rPr>
              <w:t xml:space="preserve">in year n </w:t>
            </w:r>
            <w:r w:rsidRPr="00AA2B26">
              <w:rPr>
                <w:lang w:val="en-CA"/>
              </w:rPr>
              <w:t>(see Step 1)</w:t>
            </w:r>
          </w:p>
        </w:tc>
        <w:tc>
          <w:tcPr>
            <w:tcW w:w="3150" w:type="dxa"/>
            <w:vAlign w:val="center"/>
          </w:tcPr>
          <w:p w14:paraId="25D217FB" w14:textId="2E0C1F12" w:rsidR="00970DF1" w:rsidRPr="00E526C9" w:rsidRDefault="002135C1" w:rsidP="0054152B">
            <w:pPr>
              <w:spacing w:before="100" w:beforeAutospacing="1" w:after="100" w:afterAutospacing="1"/>
              <w:jc w:val="center"/>
              <w:rPr>
                <w:lang w:val="en-CA"/>
              </w:rPr>
            </w:pPr>
            <w:r w:rsidRPr="00E526C9">
              <w:rPr>
                <w:lang w:val="en-CA"/>
              </w:rPr>
              <w:t>Un-1 = Cumulative pre-tax cashflow in year n-1 multiplied by X% if CCFn-1 &lt; 0, otherwise Un-1 = 0</w:t>
            </w:r>
          </w:p>
        </w:tc>
        <w:tc>
          <w:tcPr>
            <w:tcW w:w="2901" w:type="dxa"/>
            <w:shd w:val="clear" w:color="auto" w:fill="F2F2F2" w:themeFill="background1" w:themeFillShade="F2"/>
            <w:vAlign w:val="center"/>
          </w:tcPr>
          <w:p w14:paraId="1BEFE655" w14:textId="778F41DF" w:rsidR="00970DF1" w:rsidRPr="0054152B" w:rsidRDefault="002135C1" w:rsidP="0054152B">
            <w:pPr>
              <w:spacing w:before="100" w:beforeAutospacing="1" w:after="100" w:afterAutospacing="1"/>
              <w:jc w:val="center"/>
              <w:rPr>
                <w:lang w:val="en-CA"/>
              </w:rPr>
            </w:pPr>
            <w:proofErr w:type="spellStart"/>
            <w:r w:rsidRPr="00831A80">
              <w:rPr>
                <w:lang w:val="en-CA"/>
              </w:rPr>
              <w:t>CCF</w:t>
            </w:r>
            <w:r>
              <w:rPr>
                <w:lang w:val="en-CA"/>
              </w:rPr>
              <w:t>n</w:t>
            </w:r>
            <w:proofErr w:type="spellEnd"/>
            <w:r w:rsidRPr="00831A80">
              <w:rPr>
                <w:lang w:val="en-CA"/>
              </w:rPr>
              <w:t xml:space="preserve"> = Cumulative pre-tax cashflow in year </w:t>
            </w:r>
            <w:r>
              <w:rPr>
                <w:lang w:val="en-CA"/>
              </w:rPr>
              <w:t>n</w:t>
            </w:r>
            <w:r w:rsidRPr="00831A80">
              <w:rPr>
                <w:lang w:val="en-CA"/>
              </w:rPr>
              <w:t xml:space="preserve"> = </w:t>
            </w:r>
            <w:r>
              <w:rPr>
                <w:lang w:val="en-CA"/>
              </w:rPr>
              <w:t xml:space="preserve">CCFn-1 + </w:t>
            </w:r>
            <w:r w:rsidRPr="00831A80">
              <w:rPr>
                <w:lang w:val="en-CA"/>
              </w:rPr>
              <w:t>U</w:t>
            </w:r>
            <w:r>
              <w:rPr>
                <w:lang w:val="en-CA"/>
              </w:rPr>
              <w:t xml:space="preserve">n-1 + </w:t>
            </w:r>
            <w:proofErr w:type="spellStart"/>
            <w:r>
              <w:rPr>
                <w:lang w:val="en-CA"/>
              </w:rPr>
              <w:t>CFn</w:t>
            </w:r>
            <w:proofErr w:type="spellEnd"/>
          </w:p>
        </w:tc>
      </w:tr>
    </w:tbl>
    <w:p w14:paraId="20ED1D95" w14:textId="15C0DA46" w:rsidR="00561977" w:rsidRPr="002A5BB7" w:rsidRDefault="005B723C" w:rsidP="00993507">
      <w:pPr>
        <w:pStyle w:val="ListParagraph"/>
        <w:numPr>
          <w:ilvl w:val="0"/>
          <w:numId w:val="4"/>
        </w:numPr>
        <w:spacing w:before="100" w:beforeAutospacing="1" w:after="100" w:afterAutospacing="1" w:line="240" w:lineRule="auto"/>
        <w:rPr>
          <w:b/>
          <w:bCs/>
          <w:lang w:val="en-CA"/>
        </w:rPr>
      </w:pPr>
      <w:r>
        <w:rPr>
          <w:b/>
          <w:bCs/>
          <w:lang w:val="en-CA"/>
        </w:rPr>
        <w:t>Calculating the gross</w:t>
      </w:r>
      <w:r w:rsidR="004C7E1A">
        <w:rPr>
          <w:b/>
          <w:bCs/>
          <w:lang w:val="en-CA"/>
        </w:rPr>
        <w:t xml:space="preserve"> </w:t>
      </w:r>
      <w:r w:rsidR="00561977" w:rsidRPr="002A5BB7">
        <w:rPr>
          <w:b/>
          <w:bCs/>
          <w:lang w:val="en-CA"/>
        </w:rPr>
        <w:t>profit share</w:t>
      </w:r>
    </w:p>
    <w:p w14:paraId="6D2AE4C5" w14:textId="77777777" w:rsidR="00561977" w:rsidRPr="00831A80" w:rsidRDefault="00561977" w:rsidP="00993507">
      <w:pPr>
        <w:spacing w:before="100" w:beforeAutospacing="1" w:after="100" w:afterAutospacing="1" w:line="240" w:lineRule="auto"/>
        <w:rPr>
          <w:u w:val="single"/>
          <w:lang w:val="en-CA"/>
        </w:rPr>
      </w:pPr>
      <w:r w:rsidRPr="00831A80">
        <w:rPr>
          <w:u w:val="single"/>
          <w:lang w:val="en-CA"/>
        </w:rPr>
        <w:t>Year n:</w:t>
      </w:r>
    </w:p>
    <w:p w14:paraId="42BA64CF" w14:textId="361987F3" w:rsidR="00561977" w:rsidRDefault="00561977" w:rsidP="00993507">
      <w:pPr>
        <w:spacing w:before="100" w:beforeAutospacing="1" w:after="100" w:afterAutospacing="1" w:line="240" w:lineRule="auto"/>
        <w:rPr>
          <w:lang w:val="en-CA"/>
        </w:rPr>
      </w:pPr>
      <w:r>
        <w:rPr>
          <w:lang w:val="en-CA"/>
        </w:rPr>
        <w:t>I</w:t>
      </w:r>
      <w:r w:rsidR="00624065">
        <w:rPr>
          <w:lang w:val="en-CA"/>
        </w:rPr>
        <w:t>f</w:t>
      </w:r>
      <w:r>
        <w:rPr>
          <w:lang w:val="en-CA"/>
        </w:rPr>
        <w:t xml:space="preserve"> </w:t>
      </w:r>
      <w:proofErr w:type="spellStart"/>
      <w:r w:rsidRPr="00831A80">
        <w:rPr>
          <w:lang w:val="en-CA"/>
        </w:rPr>
        <w:t>CCF</w:t>
      </w:r>
      <w:r>
        <w:rPr>
          <w:lang w:val="en-CA"/>
        </w:rPr>
        <w:t>n</w:t>
      </w:r>
      <w:proofErr w:type="spellEnd"/>
      <w:r w:rsidRPr="00831A80">
        <w:rPr>
          <w:lang w:val="en-CA"/>
        </w:rPr>
        <w:t xml:space="preserve"> </w:t>
      </w:r>
      <w:r>
        <w:rPr>
          <w:lang w:val="en-CA"/>
        </w:rPr>
        <w:t>&lt; 0</w:t>
      </w:r>
      <w:r w:rsidR="00624065">
        <w:rPr>
          <w:lang w:val="en-CA"/>
        </w:rPr>
        <w:t>, there is no profit share owed to the ISA.</w:t>
      </w:r>
      <w:r w:rsidR="008174EA">
        <w:rPr>
          <w:lang w:val="en-CA"/>
        </w:rPr>
        <w:t xml:space="preserve"> Otherwise: </w:t>
      </w:r>
    </w:p>
    <w:p w14:paraId="1E38A503" w14:textId="42776374" w:rsidR="00624065" w:rsidRDefault="00624065" w:rsidP="00993507">
      <w:pPr>
        <w:spacing w:before="100" w:beforeAutospacing="1" w:after="100" w:afterAutospacing="1" w:line="240" w:lineRule="auto"/>
        <w:rPr>
          <w:lang w:val="en-CA"/>
        </w:rPr>
      </w:pPr>
      <w:r>
        <w:rPr>
          <w:lang w:val="en-CA"/>
        </w:rPr>
        <w:t>If</w:t>
      </w:r>
      <w:r w:rsidR="003267A6">
        <w:rPr>
          <w:lang w:val="en-CA"/>
        </w:rPr>
        <w:t xml:space="preserve"> </w:t>
      </w:r>
      <w:proofErr w:type="spellStart"/>
      <w:r w:rsidR="00E912CD">
        <w:rPr>
          <w:lang w:val="en-CA"/>
        </w:rPr>
        <w:t>CCFn</w:t>
      </w:r>
      <w:proofErr w:type="spellEnd"/>
      <w:r w:rsidR="00E912CD">
        <w:rPr>
          <w:lang w:val="en-CA"/>
        </w:rPr>
        <w:t xml:space="preserve"> </w:t>
      </w:r>
      <w:r w:rsidR="00712306">
        <w:rPr>
          <w:lang w:val="en-CA"/>
        </w:rPr>
        <w:t>&gt;=0</w:t>
      </w:r>
      <w:r w:rsidR="00E912CD">
        <w:rPr>
          <w:lang w:val="en-CA"/>
        </w:rPr>
        <w:t xml:space="preserve">, the profit share applies to </w:t>
      </w:r>
      <w:r w:rsidR="00712306">
        <w:rPr>
          <w:lang w:val="en-CA"/>
        </w:rPr>
        <w:t xml:space="preserve">the </w:t>
      </w:r>
      <w:r w:rsidR="00E0204F">
        <w:rPr>
          <w:lang w:val="en-CA"/>
        </w:rPr>
        <w:t xml:space="preserve">smallest number of </w:t>
      </w:r>
      <w:proofErr w:type="spellStart"/>
      <w:r w:rsidR="00E912CD">
        <w:rPr>
          <w:lang w:val="en-CA"/>
        </w:rPr>
        <w:t>CF</w:t>
      </w:r>
      <w:r w:rsidR="00BF4A52">
        <w:rPr>
          <w:lang w:val="en-CA"/>
        </w:rPr>
        <w:t>n</w:t>
      </w:r>
      <w:proofErr w:type="spellEnd"/>
      <w:r w:rsidR="00E0204F">
        <w:rPr>
          <w:lang w:val="en-CA"/>
        </w:rPr>
        <w:t xml:space="preserve"> or</w:t>
      </w:r>
      <w:r w:rsidR="00452C7C">
        <w:rPr>
          <w:lang w:val="en-CA"/>
        </w:rPr>
        <w:t xml:space="preserve"> </w:t>
      </w:r>
      <w:proofErr w:type="spellStart"/>
      <w:r w:rsidR="00452C7C">
        <w:rPr>
          <w:lang w:val="en-CA"/>
        </w:rPr>
        <w:t>CCFn</w:t>
      </w:r>
      <w:proofErr w:type="spellEnd"/>
      <w:r w:rsidR="008174EA">
        <w:rPr>
          <w:lang w:val="en-CA"/>
        </w:rPr>
        <w:t xml:space="preserve">: </w:t>
      </w:r>
      <w:r w:rsidR="00E0204F">
        <w:rPr>
          <w:lang w:val="en-CA"/>
        </w:rPr>
        <w:t>Min</w:t>
      </w:r>
      <w:r w:rsidR="008174EA">
        <w:rPr>
          <w:lang w:val="en-CA"/>
        </w:rPr>
        <w:t xml:space="preserve"> </w:t>
      </w:r>
      <w:r w:rsidR="00B439E9">
        <w:rPr>
          <w:lang w:val="en-CA"/>
        </w:rPr>
        <w:t>(</w:t>
      </w:r>
      <w:proofErr w:type="spellStart"/>
      <w:proofErr w:type="gramStart"/>
      <w:r w:rsidR="00B439E9">
        <w:rPr>
          <w:lang w:val="en-CA"/>
        </w:rPr>
        <w:t>CFn</w:t>
      </w:r>
      <w:proofErr w:type="spellEnd"/>
      <w:r w:rsidR="00B439E9">
        <w:rPr>
          <w:lang w:val="en-CA"/>
        </w:rPr>
        <w:t xml:space="preserve"> </w:t>
      </w:r>
      <w:r w:rsidR="00E0204F">
        <w:rPr>
          <w:lang w:val="en-CA"/>
        </w:rPr>
        <w:t>,</w:t>
      </w:r>
      <w:proofErr w:type="gramEnd"/>
      <w:r w:rsidR="00B439E9">
        <w:rPr>
          <w:lang w:val="en-CA"/>
        </w:rPr>
        <w:t xml:space="preserve"> </w:t>
      </w:r>
      <w:proofErr w:type="spellStart"/>
      <w:r w:rsidR="00B439E9">
        <w:rPr>
          <w:lang w:val="en-CA"/>
        </w:rPr>
        <w:t>CCFn</w:t>
      </w:r>
      <w:proofErr w:type="spellEnd"/>
      <w:r w:rsidR="00B439E9">
        <w:rPr>
          <w:lang w:val="en-CA"/>
        </w:rPr>
        <w:t xml:space="preserve">) </w:t>
      </w:r>
    </w:p>
    <w:p w14:paraId="739567CB" w14:textId="69414C56" w:rsidR="00452C7C" w:rsidRPr="00FE4B67" w:rsidRDefault="00E0204F" w:rsidP="00993507">
      <w:pPr>
        <w:spacing w:before="100" w:beforeAutospacing="1" w:after="100" w:afterAutospacing="1" w:line="240" w:lineRule="auto"/>
        <w:rPr>
          <w:lang w:val="en-CA"/>
        </w:rPr>
      </w:pPr>
      <w:r>
        <w:rPr>
          <w:lang w:val="en-CA"/>
        </w:rPr>
        <w:t>T</w:t>
      </w:r>
      <w:r w:rsidR="003267A6">
        <w:rPr>
          <w:lang w:val="en-CA"/>
        </w:rPr>
        <w:t>he</w:t>
      </w:r>
      <w:r>
        <w:rPr>
          <w:lang w:val="en-CA"/>
        </w:rPr>
        <w:t xml:space="preserve"> gross</w:t>
      </w:r>
      <w:r w:rsidR="003267A6">
        <w:rPr>
          <w:lang w:val="en-CA"/>
        </w:rPr>
        <w:t xml:space="preserve"> profit share </w:t>
      </w:r>
      <w:r>
        <w:rPr>
          <w:lang w:val="en-CA"/>
        </w:rPr>
        <w:t>is then equal to</w:t>
      </w:r>
      <w:r w:rsidR="00B439E9">
        <w:rPr>
          <w:lang w:val="en-CA"/>
        </w:rPr>
        <w:t xml:space="preserve">: </w:t>
      </w:r>
      <w:proofErr w:type="spellStart"/>
      <w:r w:rsidR="00B439E9">
        <w:rPr>
          <w:lang w:val="en-CA"/>
        </w:rPr>
        <w:t>PFn</w:t>
      </w:r>
      <w:proofErr w:type="spellEnd"/>
      <w:r w:rsidR="00B439E9">
        <w:rPr>
          <w:lang w:val="en-CA"/>
        </w:rPr>
        <w:t xml:space="preserve"> =</w:t>
      </w:r>
      <w:r w:rsidRPr="00E0204F">
        <w:rPr>
          <w:lang w:val="en-CA"/>
        </w:rPr>
        <w:t xml:space="preserve"> </w:t>
      </w:r>
      <w:r>
        <w:rPr>
          <w:lang w:val="en-CA"/>
        </w:rPr>
        <w:t>Min (</w:t>
      </w:r>
      <w:proofErr w:type="spellStart"/>
      <w:proofErr w:type="gramStart"/>
      <w:r>
        <w:rPr>
          <w:lang w:val="en-CA"/>
        </w:rPr>
        <w:t>CFn</w:t>
      </w:r>
      <w:proofErr w:type="spellEnd"/>
      <w:r>
        <w:rPr>
          <w:lang w:val="en-CA"/>
        </w:rPr>
        <w:t xml:space="preserve"> ,</w:t>
      </w:r>
      <w:proofErr w:type="gramEnd"/>
      <w:r>
        <w:rPr>
          <w:lang w:val="en-CA"/>
        </w:rPr>
        <w:t xml:space="preserve"> </w:t>
      </w:r>
      <w:proofErr w:type="spellStart"/>
      <w:r>
        <w:rPr>
          <w:lang w:val="en-CA"/>
        </w:rPr>
        <w:t>CCFn</w:t>
      </w:r>
      <w:proofErr w:type="spellEnd"/>
      <w:r>
        <w:rPr>
          <w:lang w:val="en-CA"/>
        </w:rPr>
        <w:t xml:space="preserve">) </w:t>
      </w:r>
      <w:r w:rsidR="00B439E9">
        <w:rPr>
          <w:lang w:val="en-CA"/>
        </w:rPr>
        <w:t xml:space="preserve">x </w:t>
      </w:r>
      <w:proofErr w:type="spellStart"/>
      <w:r w:rsidR="00B439E9">
        <w:rPr>
          <w:lang w:val="en-CA"/>
        </w:rPr>
        <w:t>X</w:t>
      </w:r>
      <w:proofErr w:type="spellEnd"/>
      <w:r w:rsidR="00B439E9">
        <w:rPr>
          <w:lang w:val="en-CA"/>
        </w:rPr>
        <w:t>%</w:t>
      </w:r>
    </w:p>
    <w:p w14:paraId="6E6B1E44" w14:textId="5BF48525" w:rsidR="00A302C0" w:rsidRPr="000E0818" w:rsidRDefault="00425CE4" w:rsidP="00993507">
      <w:pPr>
        <w:pStyle w:val="ListParagraph"/>
        <w:numPr>
          <w:ilvl w:val="0"/>
          <w:numId w:val="4"/>
        </w:numPr>
        <w:spacing w:before="100" w:beforeAutospacing="1" w:after="100" w:afterAutospacing="1" w:line="240" w:lineRule="auto"/>
        <w:rPr>
          <w:b/>
          <w:bCs/>
          <w:lang w:val="en-CA"/>
        </w:rPr>
      </w:pPr>
      <w:r>
        <w:rPr>
          <w:b/>
          <w:bCs/>
          <w:lang w:val="en-CA"/>
        </w:rPr>
        <w:t>Calculating t</w:t>
      </w:r>
      <w:r w:rsidR="006145C4">
        <w:rPr>
          <w:b/>
          <w:bCs/>
          <w:lang w:val="en-CA"/>
        </w:rPr>
        <w:t>ax credits</w:t>
      </w:r>
    </w:p>
    <w:p w14:paraId="5BB39DDE" w14:textId="54CC9E44" w:rsidR="007643C7" w:rsidRDefault="006145C4" w:rsidP="00993507">
      <w:pPr>
        <w:spacing w:before="100" w:beforeAutospacing="1" w:after="100" w:afterAutospacing="1" w:line="240" w:lineRule="auto"/>
        <w:rPr>
          <w:lang w:val="en-CA"/>
        </w:rPr>
      </w:pPr>
      <w:r>
        <w:rPr>
          <w:lang w:val="en-CA"/>
        </w:rPr>
        <w:t>A</w:t>
      </w:r>
      <w:r w:rsidR="00A302C0">
        <w:rPr>
          <w:lang w:val="en-CA"/>
        </w:rPr>
        <w:t xml:space="preserve">ny CIT (and other covered taxes) paid to the sponsoring state </w:t>
      </w:r>
      <w:r>
        <w:rPr>
          <w:lang w:val="en-CA"/>
        </w:rPr>
        <w:t xml:space="preserve">is </w:t>
      </w:r>
      <w:r w:rsidR="00233D98">
        <w:rPr>
          <w:lang w:val="en-CA"/>
        </w:rPr>
        <w:t xml:space="preserve">included as a creditable amount against the </w:t>
      </w:r>
      <w:r w:rsidR="0041068B">
        <w:rPr>
          <w:lang w:val="en-CA"/>
        </w:rPr>
        <w:t>additional profit share</w:t>
      </w:r>
      <w:r w:rsidR="00233D98">
        <w:rPr>
          <w:lang w:val="en-CA"/>
        </w:rPr>
        <w:t xml:space="preserve">. </w:t>
      </w:r>
    </w:p>
    <w:p w14:paraId="1E75048D" w14:textId="37639205" w:rsidR="00A302C0" w:rsidRDefault="007643C7" w:rsidP="00993507">
      <w:pPr>
        <w:spacing w:before="100" w:beforeAutospacing="1" w:after="100" w:afterAutospacing="1" w:line="240" w:lineRule="auto"/>
        <w:rPr>
          <w:lang w:val="en-CA"/>
        </w:rPr>
      </w:pPr>
      <w:r>
        <w:rPr>
          <w:lang w:val="en-CA"/>
        </w:rPr>
        <w:t xml:space="preserve">Assuming </w:t>
      </w:r>
      <w:r w:rsidR="00686B55">
        <w:rPr>
          <w:lang w:val="en-CA"/>
        </w:rPr>
        <w:t xml:space="preserve">year n is the </w:t>
      </w:r>
      <w:r w:rsidR="003A4D40">
        <w:rPr>
          <w:lang w:val="en-CA"/>
        </w:rPr>
        <w:t>first year</w:t>
      </w:r>
      <w:r w:rsidR="00686B55">
        <w:rPr>
          <w:lang w:val="en-CA"/>
        </w:rPr>
        <w:t xml:space="preserve"> that cumulative pre tax cash flows are positive. </w:t>
      </w:r>
    </w:p>
    <w:p w14:paraId="11E32689" w14:textId="2EC8B346" w:rsidR="0023581B" w:rsidRDefault="0023581B" w:rsidP="00993507">
      <w:pPr>
        <w:spacing w:before="100" w:beforeAutospacing="1" w:after="100" w:afterAutospacing="1" w:line="240" w:lineRule="auto"/>
        <w:rPr>
          <w:lang w:val="en-CA"/>
        </w:rPr>
      </w:pPr>
      <w:r>
        <w:rPr>
          <w:lang w:val="en-CA"/>
        </w:rPr>
        <w:t>During years 1 to n, CIT (and other covered taxes) accumulate</w:t>
      </w:r>
      <w:r w:rsidR="00575C76">
        <w:rPr>
          <w:lang w:val="en-CA"/>
        </w:rPr>
        <w:t xml:space="preserve">. </w:t>
      </w:r>
      <w:r w:rsidR="009C6736">
        <w:rPr>
          <w:lang w:val="en-CA"/>
        </w:rPr>
        <w:t>CIT1 is CIT paid in year 1, etc.</w:t>
      </w:r>
    </w:p>
    <w:p w14:paraId="441D2488" w14:textId="32461A57" w:rsidR="00575C76" w:rsidRDefault="00575C76" w:rsidP="00993507">
      <w:pPr>
        <w:spacing w:before="100" w:beforeAutospacing="1" w:after="100" w:afterAutospacing="1" w:line="240" w:lineRule="auto"/>
        <w:rPr>
          <w:lang w:val="en-CA"/>
        </w:rPr>
      </w:pPr>
      <w:r>
        <w:rPr>
          <w:lang w:val="en-CA"/>
        </w:rPr>
        <w:t>Cumulated CIT credits</w:t>
      </w:r>
      <w:r w:rsidR="00ED6417">
        <w:rPr>
          <w:lang w:val="en-CA"/>
        </w:rPr>
        <w:t xml:space="preserve"> in year n</w:t>
      </w:r>
      <w:r>
        <w:rPr>
          <w:lang w:val="en-CA"/>
        </w:rPr>
        <w:t xml:space="preserve"> = </w:t>
      </w:r>
      <w:proofErr w:type="spellStart"/>
      <w:r>
        <w:rPr>
          <w:lang w:val="en-CA"/>
        </w:rPr>
        <w:t>CCITn</w:t>
      </w:r>
      <w:proofErr w:type="spellEnd"/>
      <w:r>
        <w:rPr>
          <w:lang w:val="en-CA"/>
        </w:rPr>
        <w:t xml:space="preserve"> = </w:t>
      </w:r>
      <w:r w:rsidR="009C6736">
        <w:rPr>
          <w:lang w:val="en-CA"/>
        </w:rPr>
        <w:t>CIT1 + CIT2 + … + CITn-1</w:t>
      </w:r>
    </w:p>
    <w:p w14:paraId="71EF16B7" w14:textId="6E8B0153" w:rsidR="008174EA" w:rsidRPr="000E0818" w:rsidRDefault="00425CE4" w:rsidP="00993507">
      <w:pPr>
        <w:pStyle w:val="ListParagraph"/>
        <w:numPr>
          <w:ilvl w:val="0"/>
          <w:numId w:val="4"/>
        </w:numPr>
        <w:spacing w:before="100" w:beforeAutospacing="1" w:after="100" w:afterAutospacing="1" w:line="240" w:lineRule="auto"/>
        <w:rPr>
          <w:b/>
          <w:bCs/>
          <w:lang w:val="en-CA"/>
        </w:rPr>
      </w:pPr>
      <w:r>
        <w:rPr>
          <w:b/>
          <w:bCs/>
          <w:lang w:val="en-CA"/>
        </w:rPr>
        <w:t>Computing the n</w:t>
      </w:r>
      <w:r w:rsidR="008174EA">
        <w:rPr>
          <w:b/>
          <w:bCs/>
          <w:lang w:val="en-CA"/>
        </w:rPr>
        <w:t>et</w:t>
      </w:r>
      <w:r w:rsidR="008174EA" w:rsidRPr="000E0818">
        <w:rPr>
          <w:b/>
          <w:bCs/>
          <w:lang w:val="en-CA"/>
        </w:rPr>
        <w:t xml:space="preserve"> profit share</w:t>
      </w:r>
    </w:p>
    <w:p w14:paraId="41BB6D22" w14:textId="2F7B11C3" w:rsidR="00561977" w:rsidRDefault="00B439E9" w:rsidP="00993507">
      <w:pPr>
        <w:spacing w:before="100" w:beforeAutospacing="1" w:after="100" w:afterAutospacing="1" w:line="240" w:lineRule="auto"/>
        <w:rPr>
          <w:lang w:val="en-CA"/>
        </w:rPr>
      </w:pPr>
      <w:r>
        <w:rPr>
          <w:lang w:val="en-CA"/>
        </w:rPr>
        <w:t xml:space="preserve">The net profit share owed to the ISA is the </w:t>
      </w:r>
      <w:r w:rsidR="005B723C">
        <w:rPr>
          <w:lang w:val="en-CA"/>
        </w:rPr>
        <w:t xml:space="preserve">gross </w:t>
      </w:r>
      <w:r>
        <w:rPr>
          <w:lang w:val="en-CA"/>
        </w:rPr>
        <w:t xml:space="preserve">profit share calculated as in Step </w:t>
      </w:r>
      <w:r w:rsidR="003A4D40">
        <w:rPr>
          <w:lang w:val="en-CA"/>
        </w:rPr>
        <w:t>3</w:t>
      </w:r>
      <w:r w:rsidR="00C80A68">
        <w:rPr>
          <w:lang w:val="en-CA"/>
        </w:rPr>
        <w:t>, minus any CIT (and other covered taxes) paid to the sponsoring state in previous years</w:t>
      </w:r>
      <w:r w:rsidR="003A4D40">
        <w:rPr>
          <w:lang w:val="en-CA"/>
        </w:rPr>
        <w:t xml:space="preserve"> (Step 4)</w:t>
      </w:r>
      <w:r w:rsidR="00097BF7">
        <w:rPr>
          <w:lang w:val="en-CA"/>
        </w:rPr>
        <w:t xml:space="preserve">, and not yet credited against a profit share in previous years. </w:t>
      </w:r>
    </w:p>
    <w:p w14:paraId="7C6D92E0" w14:textId="77777777" w:rsidR="003A4D40" w:rsidRDefault="003A4D40" w:rsidP="00993507">
      <w:pPr>
        <w:spacing w:before="100" w:beforeAutospacing="1" w:after="100" w:afterAutospacing="1" w:line="240" w:lineRule="auto"/>
        <w:rPr>
          <w:lang w:val="en-CA"/>
        </w:rPr>
      </w:pPr>
      <w:r>
        <w:rPr>
          <w:lang w:val="en-CA"/>
        </w:rPr>
        <w:t>Starting in year n, the cumulated CIT credits are credited against the ISA’s additional profit share.</w:t>
      </w:r>
    </w:p>
    <w:p w14:paraId="12A89AE8" w14:textId="77777777" w:rsidR="003A4D40" w:rsidRDefault="003A4D40" w:rsidP="00993507">
      <w:pPr>
        <w:spacing w:before="100" w:beforeAutospacing="1" w:after="100" w:afterAutospacing="1" w:line="240" w:lineRule="auto"/>
        <w:rPr>
          <w:lang w:val="en-CA"/>
        </w:rPr>
      </w:pPr>
      <w:r>
        <w:rPr>
          <w:lang w:val="en-CA"/>
        </w:rPr>
        <w:t xml:space="preserve">Cumulated CIT credits in year n+1 = CCITn+1 = </w:t>
      </w:r>
      <w:proofErr w:type="spellStart"/>
      <w:r>
        <w:rPr>
          <w:lang w:val="en-CA"/>
        </w:rPr>
        <w:t>CCITn</w:t>
      </w:r>
      <w:proofErr w:type="spellEnd"/>
      <w:r>
        <w:rPr>
          <w:lang w:val="en-CA"/>
        </w:rPr>
        <w:t xml:space="preserve"> + </w:t>
      </w:r>
      <w:proofErr w:type="spellStart"/>
      <w:r>
        <w:rPr>
          <w:lang w:val="en-CA"/>
        </w:rPr>
        <w:t>CITn</w:t>
      </w:r>
      <w:proofErr w:type="spellEnd"/>
      <w:r>
        <w:rPr>
          <w:lang w:val="en-CA"/>
        </w:rPr>
        <w:t xml:space="preserve"> – </w:t>
      </w:r>
      <w:proofErr w:type="spellStart"/>
      <w:r>
        <w:rPr>
          <w:lang w:val="en-CA"/>
        </w:rPr>
        <w:t>PFn</w:t>
      </w:r>
      <w:proofErr w:type="spellEnd"/>
    </w:p>
    <w:p w14:paraId="694B6FC0" w14:textId="77777777" w:rsidR="003A4D40" w:rsidRDefault="003A4D40" w:rsidP="00993507">
      <w:pPr>
        <w:spacing w:before="100" w:beforeAutospacing="1" w:after="100" w:afterAutospacing="1" w:line="240" w:lineRule="auto"/>
        <w:rPr>
          <w:lang w:val="en-CA"/>
        </w:rPr>
      </w:pPr>
      <w:r>
        <w:rPr>
          <w:lang w:val="en-CA"/>
        </w:rPr>
        <w:t>Cumulated CIT credits in year n+2 = CCITn+2 = CCITn+1 + CITn+1 – PFn+1</w:t>
      </w:r>
    </w:p>
    <w:p w14:paraId="0E0AFECE" w14:textId="0FBB063B" w:rsidR="003A4D40" w:rsidRDefault="00586D9C" w:rsidP="00993507">
      <w:pPr>
        <w:spacing w:before="100" w:beforeAutospacing="1" w:after="100" w:afterAutospacing="1" w:line="240" w:lineRule="auto"/>
        <w:rPr>
          <w:lang w:val="en-CA"/>
        </w:rPr>
      </w:pPr>
      <w:r>
        <w:rPr>
          <w:lang w:val="en-CA"/>
        </w:rPr>
        <w:lastRenderedPageBreak/>
        <w:t>If</w:t>
      </w:r>
      <w:r w:rsidR="003A4D40">
        <w:rPr>
          <w:lang w:val="en-CA"/>
        </w:rPr>
        <w:t xml:space="preserve"> CCIT is positive, no cash flow tax is paid to the ISA. If CCIT is negative, then that amount must be paid to the ISA. </w:t>
      </w:r>
    </w:p>
    <w:p w14:paraId="74EB9D8B" w14:textId="355AEE13" w:rsidR="006A6006" w:rsidRPr="00432BF0" w:rsidRDefault="006A6006" w:rsidP="00993507">
      <w:pPr>
        <w:spacing w:before="100" w:beforeAutospacing="1" w:after="100" w:afterAutospacing="1" w:line="240" w:lineRule="auto"/>
        <w:rPr>
          <w:u w:val="single"/>
          <w:lang w:val="en-CA"/>
        </w:rPr>
      </w:pPr>
      <w:r>
        <w:rPr>
          <w:u w:val="single"/>
          <w:lang w:val="en-CA"/>
        </w:rPr>
        <w:t>Important parameters of the additional profit share as an equalization measure</w:t>
      </w:r>
    </w:p>
    <w:p w14:paraId="37DF6262" w14:textId="77777777" w:rsidR="00BA738C" w:rsidRDefault="00860D06" w:rsidP="00993507">
      <w:pPr>
        <w:spacing w:before="100" w:beforeAutospacing="1" w:after="100" w:afterAutospacing="1" w:line="240" w:lineRule="auto"/>
        <w:rPr>
          <w:lang w:val="en-CA"/>
        </w:rPr>
      </w:pPr>
      <w:r>
        <w:rPr>
          <w:lang w:val="en-CA"/>
        </w:rPr>
        <w:t xml:space="preserve">An additional profit share requires specific rules that follow the step-by-step explanation above, </w:t>
      </w:r>
      <w:r w:rsidR="00C34A33">
        <w:rPr>
          <w:lang w:val="en-CA"/>
        </w:rPr>
        <w:t>and t</w:t>
      </w:r>
      <w:r w:rsidR="00CD3AD0">
        <w:rPr>
          <w:lang w:val="en-CA"/>
        </w:rPr>
        <w:t>hree</w:t>
      </w:r>
      <w:r w:rsidR="00C34A33">
        <w:rPr>
          <w:lang w:val="en-CA"/>
        </w:rPr>
        <w:t xml:space="preserve"> important parameters: the rate of uplift on negative cash flows, the rate of the profit share itself</w:t>
      </w:r>
      <w:r w:rsidR="00CD3AD0">
        <w:rPr>
          <w:lang w:val="en-CA"/>
        </w:rPr>
        <w:t>, and a list of payments that could be used as credits against the profit share, along with</w:t>
      </w:r>
      <w:r w:rsidR="00B37BB0">
        <w:rPr>
          <w:lang w:val="en-CA"/>
        </w:rPr>
        <w:t xml:space="preserve"> corporate</w:t>
      </w:r>
      <w:r w:rsidR="00CD3AD0">
        <w:rPr>
          <w:lang w:val="en-CA"/>
        </w:rPr>
        <w:t xml:space="preserve"> </w:t>
      </w:r>
      <w:r w:rsidR="00B37BB0">
        <w:rPr>
          <w:lang w:val="en-CA"/>
        </w:rPr>
        <w:t>income tax</w:t>
      </w:r>
      <w:r w:rsidR="006D671A">
        <w:rPr>
          <w:lang w:val="en-CA"/>
        </w:rPr>
        <w:t xml:space="preserve"> payments</w:t>
      </w:r>
      <w:r w:rsidR="00C34A33">
        <w:rPr>
          <w:lang w:val="en-CA"/>
        </w:rPr>
        <w:t xml:space="preserve">. </w:t>
      </w:r>
    </w:p>
    <w:p w14:paraId="663B9F78" w14:textId="77777777" w:rsidR="00F272FE" w:rsidRDefault="00F272FE" w:rsidP="00993507">
      <w:pPr>
        <w:spacing w:before="100" w:beforeAutospacing="1" w:after="100" w:afterAutospacing="1" w:line="240" w:lineRule="auto"/>
        <w:rPr>
          <w:lang w:val="en-CA"/>
        </w:rPr>
      </w:pPr>
      <w:r>
        <w:rPr>
          <w:lang w:val="en-CA"/>
        </w:rPr>
        <w:t xml:space="preserve">These parameters should be determined based on an updated version of the financial model for deep sea mining, and an agreed range of average effective tax rates. </w:t>
      </w:r>
    </w:p>
    <w:p w14:paraId="3186B0A7" w14:textId="7EBD3417" w:rsidR="00BA738C" w:rsidRDefault="00BA738C" w:rsidP="00993507">
      <w:pPr>
        <w:spacing w:before="100" w:beforeAutospacing="1" w:after="100" w:afterAutospacing="1" w:line="240" w:lineRule="auto"/>
        <w:rPr>
          <w:lang w:val="en-CA"/>
        </w:rPr>
      </w:pPr>
      <w:r>
        <w:rPr>
          <w:lang w:val="en-CA"/>
        </w:rPr>
        <w:t xml:space="preserve">There is a case for setting the profit share at a rate of 25%, as this is the corporate income tax rate that was initially assumed in the MIT model.  </w:t>
      </w:r>
      <w:r w:rsidR="00F272FE">
        <w:rPr>
          <w:lang w:val="en-CA"/>
        </w:rPr>
        <w:t>A</w:t>
      </w:r>
      <w:r>
        <w:rPr>
          <w:lang w:val="en-CA"/>
        </w:rPr>
        <w:t xml:space="preserve"> profit share rate of 25% combined with a price varying royalty could result in an effective tax rate for deep-seabed mining within the range of land-based mining tax regimes for the same or similar minerals. </w:t>
      </w:r>
      <w:r w:rsidR="00F272FE">
        <w:rPr>
          <w:lang w:val="en-CA"/>
        </w:rPr>
        <w:t xml:space="preserve">If the </w:t>
      </w:r>
      <w:r w:rsidR="005B723C">
        <w:rPr>
          <w:lang w:val="en-CA"/>
        </w:rPr>
        <w:t>Open-Ended</w:t>
      </w:r>
      <w:r w:rsidR="00F272FE">
        <w:rPr>
          <w:lang w:val="en-CA"/>
        </w:rPr>
        <w:t xml:space="preserve"> Working Group on the payment regime for deep sea mining wishes to </w:t>
      </w:r>
      <w:r w:rsidR="002A7C01">
        <w:rPr>
          <w:lang w:val="en-CA"/>
        </w:rPr>
        <w:t>start from a rate of 25% for the additional profit share, f</w:t>
      </w:r>
      <w:r>
        <w:rPr>
          <w:lang w:val="en-CA"/>
        </w:rPr>
        <w:t xml:space="preserve">urther economic modelling work should be undertaken to finalise the royalty rates that when combined with a 25% additional profit share result in an acceptable effective tax rate. </w:t>
      </w:r>
    </w:p>
    <w:p w14:paraId="58CC0F5E" w14:textId="77777777" w:rsidR="000E156A" w:rsidRPr="00407A91" w:rsidRDefault="000E156A" w:rsidP="00993507">
      <w:pPr>
        <w:pStyle w:val="Heading2"/>
        <w:numPr>
          <w:ilvl w:val="0"/>
          <w:numId w:val="3"/>
        </w:numPr>
        <w:spacing w:before="100" w:beforeAutospacing="1" w:after="100" w:afterAutospacing="1" w:line="240" w:lineRule="auto"/>
        <w:rPr>
          <w:b/>
          <w:bCs/>
          <w:lang w:val="en-CA"/>
        </w:rPr>
      </w:pPr>
      <w:r w:rsidRPr="00407A91">
        <w:rPr>
          <w:b/>
          <w:bCs/>
          <w:lang w:val="en-CA"/>
        </w:rPr>
        <w:t>Illustrations:</w:t>
      </w:r>
    </w:p>
    <w:p w14:paraId="1A0E76A7" w14:textId="17FD1FE6" w:rsidR="00BA738C" w:rsidRDefault="005377B4" w:rsidP="00993507">
      <w:pPr>
        <w:spacing w:before="100" w:beforeAutospacing="1" w:after="100" w:afterAutospacing="1" w:line="240" w:lineRule="auto"/>
        <w:rPr>
          <w:lang w:val="en-CA"/>
        </w:rPr>
      </w:pPr>
      <w:r>
        <w:rPr>
          <w:lang w:val="en-CA"/>
        </w:rPr>
        <w:t>First scenario: application of an additional profit-share when</w:t>
      </w:r>
      <w:r w:rsidR="00AB4AF5">
        <w:rPr>
          <w:lang w:val="en-CA"/>
        </w:rPr>
        <w:t xml:space="preserve"> a</w:t>
      </w:r>
      <w:r>
        <w:rPr>
          <w:lang w:val="en-CA"/>
        </w:rPr>
        <w:t xml:space="preserve"> contractor is paying 25% CIT on </w:t>
      </w:r>
      <w:r w:rsidR="00AB4AF5">
        <w:rPr>
          <w:lang w:val="en-CA"/>
        </w:rPr>
        <w:t>its income derived from extraction / collection business:</w:t>
      </w:r>
    </w:p>
    <w:tbl>
      <w:tblPr>
        <w:tblStyle w:val="TableGrid"/>
        <w:tblW w:w="0" w:type="auto"/>
        <w:tblLook w:val="04A0" w:firstRow="1" w:lastRow="0" w:firstColumn="1" w:lastColumn="0" w:noHBand="0" w:noVBand="1"/>
      </w:tblPr>
      <w:tblGrid>
        <w:gridCol w:w="9016"/>
      </w:tblGrid>
      <w:tr w:rsidR="00AB4AF5" w14:paraId="1EF5F5C9" w14:textId="77777777" w:rsidTr="0054152B">
        <w:tc>
          <w:tcPr>
            <w:tcW w:w="9016" w:type="dxa"/>
            <w:vAlign w:val="center"/>
          </w:tcPr>
          <w:p w14:paraId="6EA73054" w14:textId="6F411FFB" w:rsidR="00AB4AF5" w:rsidRDefault="00AB4AF5" w:rsidP="0054152B">
            <w:pPr>
              <w:spacing w:before="100" w:beforeAutospacing="1" w:after="100" w:afterAutospacing="1"/>
              <w:jc w:val="center"/>
              <w:rPr>
                <w:lang w:val="en-CA"/>
              </w:rPr>
            </w:pPr>
            <w:r>
              <w:rPr>
                <w:lang w:val="en-CA"/>
              </w:rPr>
              <w:t>Collector cashflows in real terms</w:t>
            </w:r>
            <w:r w:rsidR="00BF27D5">
              <w:rPr>
                <w:lang w:val="en-CA"/>
              </w:rPr>
              <w:t xml:space="preserve"> (</w:t>
            </w:r>
            <w:proofErr w:type="gramStart"/>
            <w:r w:rsidR="00BF27D5">
              <w:rPr>
                <w:lang w:val="en-CA"/>
              </w:rPr>
              <w:t>i.e.</w:t>
            </w:r>
            <w:proofErr w:type="gramEnd"/>
            <w:r w:rsidR="00BF27D5">
              <w:rPr>
                <w:lang w:val="en-CA"/>
              </w:rPr>
              <w:t xml:space="preserve"> net of inflation), over a 40-year deep-seabed mining project</w:t>
            </w:r>
          </w:p>
        </w:tc>
      </w:tr>
      <w:tr w:rsidR="00AB4AF5" w14:paraId="09170FED" w14:textId="77777777" w:rsidTr="0054152B">
        <w:tc>
          <w:tcPr>
            <w:tcW w:w="9016" w:type="dxa"/>
            <w:vAlign w:val="center"/>
          </w:tcPr>
          <w:p w14:paraId="5CE2EFD1" w14:textId="4C7DF703" w:rsidR="00AB4AF5" w:rsidRDefault="00AB4AF5" w:rsidP="0054152B">
            <w:pPr>
              <w:spacing w:before="100" w:beforeAutospacing="1" w:after="100" w:afterAutospacing="1"/>
              <w:jc w:val="center"/>
              <w:rPr>
                <w:lang w:val="en-CA"/>
              </w:rPr>
            </w:pPr>
            <w:r>
              <w:rPr>
                <w:noProof/>
                <w:lang w:val="en-CA"/>
              </w:rPr>
              <w:drawing>
                <wp:inline distT="0" distB="0" distL="0" distR="0" wp14:anchorId="1DE99B64" wp14:editId="6C5DBD53">
                  <wp:extent cx="5410101" cy="3609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2422" cy="3624869"/>
                          </a:xfrm>
                          <a:prstGeom prst="rect">
                            <a:avLst/>
                          </a:prstGeom>
                          <a:noFill/>
                        </pic:spPr>
                      </pic:pic>
                    </a:graphicData>
                  </a:graphic>
                </wp:inline>
              </w:drawing>
            </w:r>
          </w:p>
        </w:tc>
      </w:tr>
      <w:tr w:rsidR="00AB4AF5" w14:paraId="003201BB" w14:textId="77777777" w:rsidTr="0054152B">
        <w:tc>
          <w:tcPr>
            <w:tcW w:w="9016" w:type="dxa"/>
            <w:vAlign w:val="center"/>
          </w:tcPr>
          <w:p w14:paraId="54CAB942" w14:textId="00DCB651" w:rsidR="00AB4AF5" w:rsidRDefault="00195C20" w:rsidP="0054152B">
            <w:pPr>
              <w:spacing w:before="100" w:beforeAutospacing="1" w:after="100" w:afterAutospacing="1"/>
              <w:jc w:val="center"/>
              <w:rPr>
                <w:lang w:val="en-CA"/>
              </w:rPr>
            </w:pPr>
            <w:r>
              <w:rPr>
                <w:lang w:val="en-CA"/>
              </w:rPr>
              <w:t>Collector cashflows in real terms (</w:t>
            </w:r>
            <w:proofErr w:type="gramStart"/>
            <w:r>
              <w:rPr>
                <w:lang w:val="en-CA"/>
              </w:rPr>
              <w:t>i.e.</w:t>
            </w:r>
            <w:proofErr w:type="gramEnd"/>
            <w:r>
              <w:rPr>
                <w:lang w:val="en-CA"/>
              </w:rPr>
              <w:t xml:space="preserve"> net of inflation), over a 40-year deep-seabed mining project</w:t>
            </w:r>
            <w:r w:rsidR="00541766">
              <w:rPr>
                <w:lang w:val="en-CA"/>
              </w:rPr>
              <w:t xml:space="preserve"> – CIT and additional profit share only</w:t>
            </w:r>
          </w:p>
        </w:tc>
      </w:tr>
      <w:tr w:rsidR="00195C20" w14:paraId="4E3B6D13" w14:textId="77777777" w:rsidTr="0054152B">
        <w:tc>
          <w:tcPr>
            <w:tcW w:w="9016" w:type="dxa"/>
            <w:vAlign w:val="center"/>
          </w:tcPr>
          <w:p w14:paraId="11BE57CF" w14:textId="7E21ED18" w:rsidR="00195C20" w:rsidRDefault="00195C20" w:rsidP="0054152B">
            <w:pPr>
              <w:spacing w:before="100" w:beforeAutospacing="1" w:after="100" w:afterAutospacing="1"/>
              <w:jc w:val="center"/>
              <w:rPr>
                <w:lang w:val="en-CA"/>
              </w:rPr>
            </w:pPr>
            <w:r>
              <w:rPr>
                <w:noProof/>
                <w:lang w:val="en-CA"/>
              </w:rPr>
              <w:lastRenderedPageBreak/>
              <w:drawing>
                <wp:inline distT="0" distB="0" distL="0" distR="0" wp14:anchorId="7691BE0E" wp14:editId="780626AE">
                  <wp:extent cx="5191125" cy="3589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4986" cy="3598962"/>
                          </a:xfrm>
                          <a:prstGeom prst="rect">
                            <a:avLst/>
                          </a:prstGeom>
                          <a:noFill/>
                        </pic:spPr>
                      </pic:pic>
                    </a:graphicData>
                  </a:graphic>
                </wp:inline>
              </w:drawing>
            </w:r>
          </w:p>
        </w:tc>
      </w:tr>
      <w:tr w:rsidR="00220D77" w14:paraId="67EED575" w14:textId="77777777" w:rsidTr="0054152B">
        <w:tc>
          <w:tcPr>
            <w:tcW w:w="9016" w:type="dxa"/>
            <w:vAlign w:val="center"/>
          </w:tcPr>
          <w:p w14:paraId="61507D96" w14:textId="2A7520CE" w:rsidR="00220D77" w:rsidRDefault="00220D77" w:rsidP="0054152B">
            <w:pPr>
              <w:spacing w:before="100" w:beforeAutospacing="1" w:after="100" w:afterAutospacing="1"/>
              <w:jc w:val="center"/>
              <w:rPr>
                <w:lang w:val="en-CA"/>
              </w:rPr>
            </w:pPr>
            <w:r>
              <w:rPr>
                <w:lang w:val="en-CA"/>
              </w:rPr>
              <w:t>Source: IGF deep sea mining model</w:t>
            </w:r>
          </w:p>
        </w:tc>
      </w:tr>
    </w:tbl>
    <w:p w14:paraId="5D77A009" w14:textId="65D003DE" w:rsidR="00541766" w:rsidRDefault="00541766" w:rsidP="00993507">
      <w:pPr>
        <w:spacing w:before="100" w:beforeAutospacing="1" w:after="100" w:afterAutospacing="1" w:line="240" w:lineRule="auto"/>
        <w:rPr>
          <w:lang w:val="en-CA"/>
        </w:rPr>
      </w:pPr>
      <w:r>
        <w:rPr>
          <w:lang w:val="en-CA"/>
        </w:rPr>
        <w:t>Second scenario: application of an additional profit-share when a contractor is paying 0% CIT on its income derived from extraction / collection business:</w:t>
      </w:r>
    </w:p>
    <w:tbl>
      <w:tblPr>
        <w:tblStyle w:val="TableGrid"/>
        <w:tblW w:w="0" w:type="auto"/>
        <w:tblLook w:val="04A0" w:firstRow="1" w:lastRow="0" w:firstColumn="1" w:lastColumn="0" w:noHBand="0" w:noVBand="1"/>
      </w:tblPr>
      <w:tblGrid>
        <w:gridCol w:w="9016"/>
      </w:tblGrid>
      <w:tr w:rsidR="00541766" w14:paraId="65C33419" w14:textId="77777777" w:rsidTr="0054152B">
        <w:tc>
          <w:tcPr>
            <w:tcW w:w="9016" w:type="dxa"/>
            <w:vAlign w:val="center"/>
          </w:tcPr>
          <w:p w14:paraId="1F06DFC4" w14:textId="77777777" w:rsidR="00541766" w:rsidRDefault="00541766" w:rsidP="0054152B">
            <w:pPr>
              <w:spacing w:before="100" w:beforeAutospacing="1" w:after="100" w:afterAutospacing="1"/>
              <w:jc w:val="center"/>
              <w:rPr>
                <w:lang w:val="en-CA"/>
              </w:rPr>
            </w:pPr>
            <w:r>
              <w:rPr>
                <w:lang w:val="en-CA"/>
              </w:rPr>
              <w:t>Collector cashflows in real terms (</w:t>
            </w:r>
            <w:proofErr w:type="gramStart"/>
            <w:r>
              <w:rPr>
                <w:lang w:val="en-CA"/>
              </w:rPr>
              <w:t>i.e.</w:t>
            </w:r>
            <w:proofErr w:type="gramEnd"/>
            <w:r>
              <w:rPr>
                <w:lang w:val="en-CA"/>
              </w:rPr>
              <w:t xml:space="preserve"> net of inflation), over a 40-year deep-seabed mining project</w:t>
            </w:r>
          </w:p>
        </w:tc>
      </w:tr>
      <w:tr w:rsidR="00541766" w14:paraId="397FF81A" w14:textId="77777777" w:rsidTr="0054152B">
        <w:trPr>
          <w:trHeight w:val="5552"/>
        </w:trPr>
        <w:tc>
          <w:tcPr>
            <w:tcW w:w="9016" w:type="dxa"/>
            <w:vAlign w:val="center"/>
          </w:tcPr>
          <w:p w14:paraId="0CB29161" w14:textId="68364993" w:rsidR="00541766" w:rsidRDefault="00407A91" w:rsidP="0054152B">
            <w:pPr>
              <w:spacing w:before="100" w:beforeAutospacing="1" w:after="100" w:afterAutospacing="1"/>
              <w:jc w:val="center"/>
              <w:rPr>
                <w:lang w:val="en-CA"/>
              </w:rPr>
            </w:pPr>
            <w:r>
              <w:rPr>
                <w:noProof/>
                <w:lang w:val="en-CA"/>
              </w:rPr>
              <w:drawing>
                <wp:inline distT="0" distB="0" distL="0" distR="0" wp14:anchorId="11B192D5" wp14:editId="700B8A3A">
                  <wp:extent cx="4997752" cy="3455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9135" cy="3456626"/>
                          </a:xfrm>
                          <a:prstGeom prst="rect">
                            <a:avLst/>
                          </a:prstGeom>
                          <a:noFill/>
                        </pic:spPr>
                      </pic:pic>
                    </a:graphicData>
                  </a:graphic>
                </wp:inline>
              </w:drawing>
            </w:r>
          </w:p>
        </w:tc>
      </w:tr>
      <w:tr w:rsidR="00541766" w14:paraId="12279391" w14:textId="77777777" w:rsidTr="0054152B">
        <w:tc>
          <w:tcPr>
            <w:tcW w:w="9016" w:type="dxa"/>
            <w:vAlign w:val="center"/>
          </w:tcPr>
          <w:p w14:paraId="7D5DCA51" w14:textId="77777777" w:rsidR="00541766" w:rsidRDefault="00541766" w:rsidP="0054152B">
            <w:pPr>
              <w:spacing w:before="100" w:beforeAutospacing="1" w:after="100" w:afterAutospacing="1"/>
              <w:jc w:val="center"/>
              <w:rPr>
                <w:lang w:val="en-CA"/>
              </w:rPr>
            </w:pPr>
            <w:r>
              <w:rPr>
                <w:lang w:val="en-CA"/>
              </w:rPr>
              <w:t>Collector cashflows in real terms (</w:t>
            </w:r>
            <w:proofErr w:type="gramStart"/>
            <w:r>
              <w:rPr>
                <w:lang w:val="en-CA"/>
              </w:rPr>
              <w:t>i.e.</w:t>
            </w:r>
            <w:proofErr w:type="gramEnd"/>
            <w:r>
              <w:rPr>
                <w:lang w:val="en-CA"/>
              </w:rPr>
              <w:t xml:space="preserve"> net of inflation), over a 40-year deep-seabed mining project – CIT and additional profit share only</w:t>
            </w:r>
          </w:p>
        </w:tc>
      </w:tr>
      <w:tr w:rsidR="00541766" w14:paraId="3BCF24D2" w14:textId="77777777" w:rsidTr="0054152B">
        <w:tc>
          <w:tcPr>
            <w:tcW w:w="9016" w:type="dxa"/>
            <w:vAlign w:val="center"/>
          </w:tcPr>
          <w:p w14:paraId="1354EB2F" w14:textId="23D15A17" w:rsidR="00541766" w:rsidRDefault="00871AAE" w:rsidP="0054152B">
            <w:pPr>
              <w:spacing w:before="100" w:beforeAutospacing="1" w:after="100" w:afterAutospacing="1"/>
              <w:jc w:val="center"/>
              <w:rPr>
                <w:lang w:val="en-CA"/>
              </w:rPr>
            </w:pPr>
            <w:r>
              <w:rPr>
                <w:noProof/>
                <w:lang w:val="en-CA"/>
              </w:rPr>
              <w:lastRenderedPageBreak/>
              <w:drawing>
                <wp:inline distT="0" distB="0" distL="0" distR="0" wp14:anchorId="79A690D0" wp14:editId="7599CC19">
                  <wp:extent cx="5247005" cy="36280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9622" cy="3636739"/>
                          </a:xfrm>
                          <a:prstGeom prst="rect">
                            <a:avLst/>
                          </a:prstGeom>
                          <a:noFill/>
                        </pic:spPr>
                      </pic:pic>
                    </a:graphicData>
                  </a:graphic>
                </wp:inline>
              </w:drawing>
            </w:r>
          </w:p>
        </w:tc>
      </w:tr>
      <w:tr w:rsidR="00541766" w14:paraId="4A24F8FA" w14:textId="77777777" w:rsidTr="0054152B">
        <w:tc>
          <w:tcPr>
            <w:tcW w:w="9016" w:type="dxa"/>
            <w:vAlign w:val="center"/>
          </w:tcPr>
          <w:p w14:paraId="14C44F5A" w14:textId="77777777" w:rsidR="00541766" w:rsidRDefault="00541766" w:rsidP="0054152B">
            <w:pPr>
              <w:spacing w:before="100" w:beforeAutospacing="1" w:after="100" w:afterAutospacing="1"/>
              <w:jc w:val="center"/>
              <w:rPr>
                <w:lang w:val="en-CA"/>
              </w:rPr>
            </w:pPr>
            <w:r>
              <w:rPr>
                <w:lang w:val="en-CA"/>
              </w:rPr>
              <w:t>Source: IGF deep sea mining model</w:t>
            </w:r>
          </w:p>
        </w:tc>
      </w:tr>
    </w:tbl>
    <w:p w14:paraId="0B2E74AB" w14:textId="77777777" w:rsidR="000E156A" w:rsidRDefault="000E156A" w:rsidP="00993507">
      <w:pPr>
        <w:spacing w:before="100" w:beforeAutospacing="1" w:after="100" w:afterAutospacing="1" w:line="240" w:lineRule="auto"/>
      </w:pPr>
    </w:p>
    <w:sectPr w:rsidR="000E15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0F17" w14:textId="77777777" w:rsidR="00251D1A" w:rsidRDefault="00251D1A" w:rsidP="00251D1A">
      <w:pPr>
        <w:spacing w:after="0" w:line="240" w:lineRule="auto"/>
      </w:pPr>
      <w:r>
        <w:separator/>
      </w:r>
    </w:p>
  </w:endnote>
  <w:endnote w:type="continuationSeparator" w:id="0">
    <w:p w14:paraId="0DBA0DFF" w14:textId="77777777" w:rsidR="00251D1A" w:rsidRDefault="00251D1A" w:rsidP="0025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40FC6" w14:textId="77777777" w:rsidR="00251D1A" w:rsidRDefault="00251D1A" w:rsidP="00251D1A">
      <w:pPr>
        <w:spacing w:after="0" w:line="240" w:lineRule="auto"/>
      </w:pPr>
      <w:r>
        <w:separator/>
      </w:r>
    </w:p>
  </w:footnote>
  <w:footnote w:type="continuationSeparator" w:id="0">
    <w:p w14:paraId="1D0A4FA0" w14:textId="77777777" w:rsidR="00251D1A" w:rsidRDefault="00251D1A" w:rsidP="00251D1A">
      <w:pPr>
        <w:spacing w:after="0" w:line="240" w:lineRule="auto"/>
      </w:pPr>
      <w:r>
        <w:continuationSeparator/>
      </w:r>
    </w:p>
  </w:footnote>
  <w:footnote w:id="1">
    <w:p w14:paraId="60442843" w14:textId="014E514C" w:rsidR="00251D1A" w:rsidRPr="00B322D9" w:rsidRDefault="00251D1A">
      <w:pPr>
        <w:pStyle w:val="FootnoteText"/>
      </w:pPr>
      <w:r>
        <w:rPr>
          <w:rStyle w:val="FootnoteReference"/>
        </w:rPr>
        <w:footnoteRef/>
      </w:r>
      <w:r>
        <w:t xml:space="preserve"> </w:t>
      </w:r>
      <w:r w:rsidR="001268D9">
        <w:t xml:space="preserve">For a recent example, see - </w:t>
      </w:r>
      <w:r w:rsidR="001268D9" w:rsidRPr="001268D9">
        <w:t xml:space="preserve">Baunsgaard, T. &amp; Devlin, D. (2021). Resource-rich developing countries and international tax reforms. In R. A. de Mooij et al. (Eds.), Corporate Income Taxes under Pressure: Why Reform Is Needed and How It Could Be Designed. International Monetary Fund. </w:t>
      </w:r>
      <w:hyperlink r:id="rId1" w:history="1">
        <w:r w:rsidR="001268D9" w:rsidRPr="00B205DC">
          <w:rPr>
            <w:rStyle w:val="Hyperlink"/>
          </w:rPr>
          <w:t>https://www.elibrary.imf.org/display/book/9781513511771/ch015.xml</w:t>
        </w:r>
      </w:hyperlink>
    </w:p>
  </w:footnote>
  <w:footnote w:id="2">
    <w:p w14:paraId="7C733964" w14:textId="51554FC0" w:rsidR="00B322D9" w:rsidRPr="00B322D9" w:rsidRDefault="00B322D9">
      <w:pPr>
        <w:pStyle w:val="FootnoteText"/>
        <w:rPr>
          <w:lang w:val="en-US"/>
        </w:rPr>
      </w:pPr>
      <w:r>
        <w:rPr>
          <w:rStyle w:val="FootnoteReference"/>
        </w:rPr>
        <w:footnoteRef/>
      </w:r>
      <w:r>
        <w:t xml:space="preserve"> </w:t>
      </w:r>
      <w:r w:rsidRPr="00251D1A">
        <w:t xml:space="preserve">Daniel, P., Keen, M., &amp; McPherson, C. (Eds.). (2010). The Taxation of Petroleum and Minerals: Principles, Problems and Practice (1st ed.). Routledge. </w:t>
      </w:r>
      <w:hyperlink r:id="rId2" w:history="1">
        <w:r w:rsidRPr="00B205DC">
          <w:rPr>
            <w:rStyle w:val="Hyperlink"/>
          </w:rPr>
          <w:t>https://doi.org/10.4324/9780203851081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0ED"/>
    <w:multiLevelType w:val="hybridMultilevel"/>
    <w:tmpl w:val="4FFE5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EA49A2"/>
    <w:multiLevelType w:val="hybridMultilevel"/>
    <w:tmpl w:val="66925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9489F"/>
    <w:multiLevelType w:val="hybridMultilevel"/>
    <w:tmpl w:val="4F98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0D5BBB"/>
    <w:multiLevelType w:val="hybridMultilevel"/>
    <w:tmpl w:val="C1FA2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4F1352"/>
    <w:multiLevelType w:val="hybridMultilevel"/>
    <w:tmpl w:val="D3C6F828"/>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5AEC6897"/>
    <w:multiLevelType w:val="hybridMultilevel"/>
    <w:tmpl w:val="7EA03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C1701"/>
    <w:multiLevelType w:val="hybridMultilevel"/>
    <w:tmpl w:val="66925E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F42B6A"/>
    <w:multiLevelType w:val="hybridMultilevel"/>
    <w:tmpl w:val="E5A0B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9DCDD9"/>
    <w:multiLevelType w:val="hybridMultilevel"/>
    <w:tmpl w:val="FFFFFFFF"/>
    <w:lvl w:ilvl="0" w:tplc="0AA6DA14">
      <w:start w:val="1"/>
      <w:numFmt w:val="bullet"/>
      <w:lvlText w:val=""/>
      <w:lvlJc w:val="left"/>
      <w:pPr>
        <w:ind w:left="720" w:hanging="360"/>
      </w:pPr>
      <w:rPr>
        <w:rFonts w:ascii="Symbol" w:hAnsi="Symbol" w:hint="default"/>
      </w:rPr>
    </w:lvl>
    <w:lvl w:ilvl="1" w:tplc="BC84BF9E">
      <w:start w:val="1"/>
      <w:numFmt w:val="bullet"/>
      <w:lvlText w:val="o"/>
      <w:lvlJc w:val="left"/>
      <w:pPr>
        <w:ind w:left="1440" w:hanging="360"/>
      </w:pPr>
      <w:rPr>
        <w:rFonts w:ascii="Courier New" w:hAnsi="Courier New" w:hint="default"/>
      </w:rPr>
    </w:lvl>
    <w:lvl w:ilvl="2" w:tplc="ADB8EFAE">
      <w:start w:val="1"/>
      <w:numFmt w:val="bullet"/>
      <w:lvlText w:val=""/>
      <w:lvlJc w:val="left"/>
      <w:pPr>
        <w:ind w:left="2160" w:hanging="360"/>
      </w:pPr>
      <w:rPr>
        <w:rFonts w:ascii="Wingdings" w:hAnsi="Wingdings" w:hint="default"/>
      </w:rPr>
    </w:lvl>
    <w:lvl w:ilvl="3" w:tplc="73B0BC76">
      <w:start w:val="1"/>
      <w:numFmt w:val="bullet"/>
      <w:lvlText w:val=""/>
      <w:lvlJc w:val="left"/>
      <w:pPr>
        <w:ind w:left="2880" w:hanging="360"/>
      </w:pPr>
      <w:rPr>
        <w:rFonts w:ascii="Symbol" w:hAnsi="Symbol" w:hint="default"/>
      </w:rPr>
    </w:lvl>
    <w:lvl w:ilvl="4" w:tplc="6F14CE16">
      <w:start w:val="1"/>
      <w:numFmt w:val="bullet"/>
      <w:lvlText w:val="o"/>
      <w:lvlJc w:val="left"/>
      <w:pPr>
        <w:ind w:left="3600" w:hanging="360"/>
      </w:pPr>
      <w:rPr>
        <w:rFonts w:ascii="Courier New" w:hAnsi="Courier New" w:hint="default"/>
      </w:rPr>
    </w:lvl>
    <w:lvl w:ilvl="5" w:tplc="A552B196">
      <w:start w:val="1"/>
      <w:numFmt w:val="bullet"/>
      <w:lvlText w:val=""/>
      <w:lvlJc w:val="left"/>
      <w:pPr>
        <w:ind w:left="4320" w:hanging="360"/>
      </w:pPr>
      <w:rPr>
        <w:rFonts w:ascii="Wingdings" w:hAnsi="Wingdings" w:hint="default"/>
      </w:rPr>
    </w:lvl>
    <w:lvl w:ilvl="6" w:tplc="4F947AB2">
      <w:start w:val="1"/>
      <w:numFmt w:val="bullet"/>
      <w:lvlText w:val=""/>
      <w:lvlJc w:val="left"/>
      <w:pPr>
        <w:ind w:left="5040" w:hanging="360"/>
      </w:pPr>
      <w:rPr>
        <w:rFonts w:ascii="Symbol" w:hAnsi="Symbol" w:hint="default"/>
      </w:rPr>
    </w:lvl>
    <w:lvl w:ilvl="7" w:tplc="799A68F2">
      <w:start w:val="1"/>
      <w:numFmt w:val="bullet"/>
      <w:lvlText w:val="o"/>
      <w:lvlJc w:val="left"/>
      <w:pPr>
        <w:ind w:left="5760" w:hanging="360"/>
      </w:pPr>
      <w:rPr>
        <w:rFonts w:ascii="Courier New" w:hAnsi="Courier New" w:hint="default"/>
      </w:rPr>
    </w:lvl>
    <w:lvl w:ilvl="8" w:tplc="7F6E0C2C">
      <w:start w:val="1"/>
      <w:numFmt w:val="bullet"/>
      <w:lvlText w:val=""/>
      <w:lvlJc w:val="left"/>
      <w:pPr>
        <w:ind w:left="6480" w:hanging="360"/>
      </w:pPr>
      <w:rPr>
        <w:rFonts w:ascii="Wingdings" w:hAnsi="Wingdings" w:hint="default"/>
      </w:rPr>
    </w:lvl>
  </w:abstractNum>
  <w:num w:numId="1" w16cid:durableId="1536966715">
    <w:abstractNumId w:val="4"/>
  </w:num>
  <w:num w:numId="2" w16cid:durableId="383216372">
    <w:abstractNumId w:val="8"/>
  </w:num>
  <w:num w:numId="3" w16cid:durableId="1715160250">
    <w:abstractNumId w:val="7"/>
  </w:num>
  <w:num w:numId="4" w16cid:durableId="1738934536">
    <w:abstractNumId w:val="1"/>
  </w:num>
  <w:num w:numId="5" w16cid:durableId="778138062">
    <w:abstractNumId w:val="6"/>
  </w:num>
  <w:num w:numId="6" w16cid:durableId="1242327289">
    <w:abstractNumId w:val="2"/>
  </w:num>
  <w:num w:numId="7" w16cid:durableId="1283611452">
    <w:abstractNumId w:val="0"/>
  </w:num>
  <w:num w:numId="8" w16cid:durableId="1628854204">
    <w:abstractNumId w:val="3"/>
  </w:num>
  <w:num w:numId="9" w16cid:durableId="10230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67"/>
    <w:rsid w:val="00010FBA"/>
    <w:rsid w:val="000233C1"/>
    <w:rsid w:val="00070608"/>
    <w:rsid w:val="00072A03"/>
    <w:rsid w:val="00080EC5"/>
    <w:rsid w:val="00097BF7"/>
    <w:rsid w:val="000A2F8A"/>
    <w:rsid w:val="000C6ABA"/>
    <w:rsid w:val="000C7ECD"/>
    <w:rsid w:val="000D7B57"/>
    <w:rsid w:val="000E02A3"/>
    <w:rsid w:val="000E0818"/>
    <w:rsid w:val="000E156A"/>
    <w:rsid w:val="0011681C"/>
    <w:rsid w:val="001268D9"/>
    <w:rsid w:val="00185700"/>
    <w:rsid w:val="00195C20"/>
    <w:rsid w:val="001A076E"/>
    <w:rsid w:val="001A6E72"/>
    <w:rsid w:val="001D6DD1"/>
    <w:rsid w:val="001D790E"/>
    <w:rsid w:val="001E3B9C"/>
    <w:rsid w:val="001F18B3"/>
    <w:rsid w:val="001F7901"/>
    <w:rsid w:val="002073D3"/>
    <w:rsid w:val="002135C1"/>
    <w:rsid w:val="00220D77"/>
    <w:rsid w:val="00222809"/>
    <w:rsid w:val="00224931"/>
    <w:rsid w:val="00233D98"/>
    <w:rsid w:val="0023581B"/>
    <w:rsid w:val="002377A9"/>
    <w:rsid w:val="00240ED1"/>
    <w:rsid w:val="00251D1A"/>
    <w:rsid w:val="00257B1A"/>
    <w:rsid w:val="002724EB"/>
    <w:rsid w:val="002A5BB7"/>
    <w:rsid w:val="002A7C01"/>
    <w:rsid w:val="002C0A28"/>
    <w:rsid w:val="003267A6"/>
    <w:rsid w:val="00375605"/>
    <w:rsid w:val="00393B0D"/>
    <w:rsid w:val="003A4D40"/>
    <w:rsid w:val="003C5B96"/>
    <w:rsid w:val="00407A91"/>
    <w:rsid w:val="0041068B"/>
    <w:rsid w:val="004150DC"/>
    <w:rsid w:val="00425CE4"/>
    <w:rsid w:val="00432BF0"/>
    <w:rsid w:val="00451314"/>
    <w:rsid w:val="00452C7C"/>
    <w:rsid w:val="0045755E"/>
    <w:rsid w:val="00471D67"/>
    <w:rsid w:val="004C3863"/>
    <w:rsid w:val="004C75FE"/>
    <w:rsid w:val="004C7E1A"/>
    <w:rsid w:val="004E2B63"/>
    <w:rsid w:val="005021C3"/>
    <w:rsid w:val="005167DB"/>
    <w:rsid w:val="005377B4"/>
    <w:rsid w:val="005403E1"/>
    <w:rsid w:val="0054152B"/>
    <w:rsid w:val="00541766"/>
    <w:rsid w:val="0054361C"/>
    <w:rsid w:val="00543751"/>
    <w:rsid w:val="00561977"/>
    <w:rsid w:val="00575C76"/>
    <w:rsid w:val="00584BDE"/>
    <w:rsid w:val="00586D9C"/>
    <w:rsid w:val="005B723C"/>
    <w:rsid w:val="006145C4"/>
    <w:rsid w:val="00615C65"/>
    <w:rsid w:val="00624065"/>
    <w:rsid w:val="00646B81"/>
    <w:rsid w:val="006530D4"/>
    <w:rsid w:val="00660724"/>
    <w:rsid w:val="00686B55"/>
    <w:rsid w:val="00694673"/>
    <w:rsid w:val="006A6006"/>
    <w:rsid w:val="006B0EA0"/>
    <w:rsid w:val="006D6706"/>
    <w:rsid w:val="006D671A"/>
    <w:rsid w:val="006E283C"/>
    <w:rsid w:val="00704BA6"/>
    <w:rsid w:val="00712306"/>
    <w:rsid w:val="00747EC6"/>
    <w:rsid w:val="007604C2"/>
    <w:rsid w:val="007640E4"/>
    <w:rsid w:val="007643C7"/>
    <w:rsid w:val="00767E22"/>
    <w:rsid w:val="00776564"/>
    <w:rsid w:val="0079038A"/>
    <w:rsid w:val="007A7D56"/>
    <w:rsid w:val="007B4ADE"/>
    <w:rsid w:val="007B6BDF"/>
    <w:rsid w:val="007C3974"/>
    <w:rsid w:val="007F724B"/>
    <w:rsid w:val="008174EA"/>
    <w:rsid w:val="00831FC3"/>
    <w:rsid w:val="00846D95"/>
    <w:rsid w:val="00860D06"/>
    <w:rsid w:val="00871AAE"/>
    <w:rsid w:val="008B032E"/>
    <w:rsid w:val="008F3A9E"/>
    <w:rsid w:val="009607B9"/>
    <w:rsid w:val="0096545C"/>
    <w:rsid w:val="00970DF1"/>
    <w:rsid w:val="00993507"/>
    <w:rsid w:val="009A49A8"/>
    <w:rsid w:val="009A55ED"/>
    <w:rsid w:val="009A7F86"/>
    <w:rsid w:val="009C6736"/>
    <w:rsid w:val="00A26F45"/>
    <w:rsid w:val="00A302C0"/>
    <w:rsid w:val="00A36716"/>
    <w:rsid w:val="00A634AD"/>
    <w:rsid w:val="00A960DF"/>
    <w:rsid w:val="00AA2B26"/>
    <w:rsid w:val="00AB15CC"/>
    <w:rsid w:val="00AB2A80"/>
    <w:rsid w:val="00AB4AF5"/>
    <w:rsid w:val="00AF3643"/>
    <w:rsid w:val="00B24EEA"/>
    <w:rsid w:val="00B322D9"/>
    <w:rsid w:val="00B345DE"/>
    <w:rsid w:val="00B37BB0"/>
    <w:rsid w:val="00B439E9"/>
    <w:rsid w:val="00B93905"/>
    <w:rsid w:val="00BA6394"/>
    <w:rsid w:val="00BA738C"/>
    <w:rsid w:val="00BF27D5"/>
    <w:rsid w:val="00BF4A52"/>
    <w:rsid w:val="00C066DE"/>
    <w:rsid w:val="00C15294"/>
    <w:rsid w:val="00C24119"/>
    <w:rsid w:val="00C34A33"/>
    <w:rsid w:val="00C45214"/>
    <w:rsid w:val="00C57623"/>
    <w:rsid w:val="00C80A68"/>
    <w:rsid w:val="00CB1AC8"/>
    <w:rsid w:val="00CD3AD0"/>
    <w:rsid w:val="00CD7E3A"/>
    <w:rsid w:val="00D223D4"/>
    <w:rsid w:val="00D37F80"/>
    <w:rsid w:val="00D67F27"/>
    <w:rsid w:val="00DB3476"/>
    <w:rsid w:val="00DC5241"/>
    <w:rsid w:val="00DC79D5"/>
    <w:rsid w:val="00DD0317"/>
    <w:rsid w:val="00DD57AB"/>
    <w:rsid w:val="00DD57DE"/>
    <w:rsid w:val="00E0107C"/>
    <w:rsid w:val="00E0204F"/>
    <w:rsid w:val="00E02D71"/>
    <w:rsid w:val="00E10F2F"/>
    <w:rsid w:val="00E430DF"/>
    <w:rsid w:val="00E505CC"/>
    <w:rsid w:val="00E509E2"/>
    <w:rsid w:val="00E526C9"/>
    <w:rsid w:val="00E912CD"/>
    <w:rsid w:val="00EB0D0E"/>
    <w:rsid w:val="00EB6342"/>
    <w:rsid w:val="00EC2D02"/>
    <w:rsid w:val="00EC7599"/>
    <w:rsid w:val="00ED6417"/>
    <w:rsid w:val="00EF0D21"/>
    <w:rsid w:val="00F13841"/>
    <w:rsid w:val="00F272FE"/>
    <w:rsid w:val="00F40B3E"/>
    <w:rsid w:val="00F46A0F"/>
    <w:rsid w:val="00F5360B"/>
    <w:rsid w:val="00F55DE9"/>
    <w:rsid w:val="00F6779E"/>
    <w:rsid w:val="00F8273B"/>
    <w:rsid w:val="00F85910"/>
    <w:rsid w:val="00F9662A"/>
    <w:rsid w:val="00FA6B59"/>
    <w:rsid w:val="00FE4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E22BA"/>
  <w15:chartTrackingRefBased/>
  <w15:docId w15:val="{AD1E1229-D76E-4689-B3D7-91D9AA94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766"/>
  </w:style>
  <w:style w:type="paragraph" w:styleId="Heading1">
    <w:name w:val="heading 1"/>
    <w:basedOn w:val="Normal"/>
    <w:next w:val="Normal"/>
    <w:link w:val="Heading1Char"/>
    <w:uiPriority w:val="9"/>
    <w:qFormat/>
    <w:rsid w:val="00EB0D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0D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1D67"/>
    <w:pPr>
      <w:ind w:left="720"/>
      <w:contextualSpacing/>
    </w:pPr>
  </w:style>
  <w:style w:type="character" w:styleId="FootnoteReference">
    <w:name w:val="footnote reference"/>
    <w:aliases w:val="Знак сноски Н,Знак сноски-FN,Ciae niinee-FN,ftref,BVI fnr,BVI fnr Car Car,BVI fnr Car,BVI fnr Car Car Car Car,Footnote text,16 Point,Superscript 6 Point,Footnote Reference1,Char Char"/>
    <w:basedOn w:val="DefaultParagraphFont"/>
    <w:uiPriority w:val="99"/>
    <w:unhideWhenUsed/>
    <w:rsid w:val="00471D67"/>
    <w:rPr>
      <w:vertAlign w:val="superscript"/>
    </w:rPr>
  </w:style>
  <w:style w:type="table" w:styleId="TableGrid">
    <w:name w:val="Table Grid"/>
    <w:basedOn w:val="TableNormal"/>
    <w:uiPriority w:val="39"/>
    <w:rsid w:val="00471D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71D67"/>
  </w:style>
  <w:style w:type="paragraph" w:styleId="Caption">
    <w:name w:val="caption"/>
    <w:basedOn w:val="Normal"/>
    <w:next w:val="Normal"/>
    <w:uiPriority w:val="35"/>
    <w:unhideWhenUsed/>
    <w:qFormat/>
    <w:rsid w:val="00471D67"/>
    <w:pPr>
      <w:spacing w:after="200"/>
    </w:pPr>
    <w:rPr>
      <w:rFonts w:ascii="Times New Roman" w:eastAsia="Times New Roman" w:hAnsi="Times New Roman" w:cs="Times New Roman"/>
      <w:i/>
      <w:iCs/>
      <w:color w:val="44546A" w:themeColor="text2"/>
      <w:sz w:val="18"/>
      <w:szCs w:val="18"/>
      <w:lang w:eastAsia="en-GB"/>
    </w:rPr>
  </w:style>
  <w:style w:type="character" w:customStyle="1" w:styleId="Heading1Char">
    <w:name w:val="Heading 1 Char"/>
    <w:basedOn w:val="DefaultParagraphFont"/>
    <w:link w:val="Heading1"/>
    <w:uiPriority w:val="9"/>
    <w:rsid w:val="00EB0D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B0D0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A5BB7"/>
    <w:rPr>
      <w:sz w:val="16"/>
      <w:szCs w:val="16"/>
    </w:rPr>
  </w:style>
  <w:style w:type="paragraph" w:styleId="CommentText">
    <w:name w:val="annotation text"/>
    <w:basedOn w:val="Normal"/>
    <w:link w:val="CommentTextChar"/>
    <w:uiPriority w:val="99"/>
    <w:unhideWhenUsed/>
    <w:rsid w:val="002A5BB7"/>
    <w:pPr>
      <w:spacing w:line="240" w:lineRule="auto"/>
    </w:pPr>
    <w:rPr>
      <w:sz w:val="20"/>
      <w:szCs w:val="20"/>
    </w:rPr>
  </w:style>
  <w:style w:type="character" w:customStyle="1" w:styleId="CommentTextChar">
    <w:name w:val="Comment Text Char"/>
    <w:basedOn w:val="DefaultParagraphFont"/>
    <w:link w:val="CommentText"/>
    <w:uiPriority w:val="99"/>
    <w:rsid w:val="002A5BB7"/>
    <w:rPr>
      <w:sz w:val="20"/>
      <w:szCs w:val="20"/>
    </w:rPr>
  </w:style>
  <w:style w:type="paragraph" w:styleId="CommentSubject">
    <w:name w:val="annotation subject"/>
    <w:basedOn w:val="CommentText"/>
    <w:next w:val="CommentText"/>
    <w:link w:val="CommentSubjectChar"/>
    <w:uiPriority w:val="99"/>
    <w:semiHidden/>
    <w:unhideWhenUsed/>
    <w:rsid w:val="002A5BB7"/>
    <w:rPr>
      <w:b/>
      <w:bCs/>
    </w:rPr>
  </w:style>
  <w:style w:type="character" w:customStyle="1" w:styleId="CommentSubjectChar">
    <w:name w:val="Comment Subject Char"/>
    <w:basedOn w:val="CommentTextChar"/>
    <w:link w:val="CommentSubject"/>
    <w:uiPriority w:val="99"/>
    <w:semiHidden/>
    <w:rsid w:val="002A5BB7"/>
    <w:rPr>
      <w:b/>
      <w:bCs/>
      <w:sz w:val="20"/>
      <w:szCs w:val="20"/>
    </w:rPr>
  </w:style>
  <w:style w:type="paragraph" w:styleId="Revision">
    <w:name w:val="Revision"/>
    <w:hidden/>
    <w:uiPriority w:val="99"/>
    <w:semiHidden/>
    <w:rsid w:val="005021C3"/>
    <w:pPr>
      <w:spacing w:after="0" w:line="240" w:lineRule="auto"/>
    </w:pPr>
  </w:style>
  <w:style w:type="paragraph" w:styleId="FootnoteText">
    <w:name w:val="footnote text"/>
    <w:aliases w:val="single space,FOOTNOTES,fn,footnote text,Footnote,12pt,Текст сноски Знак Знак Знак Знак,Текст сноски1,Текст сноски-FN,Текст сноски Знак2,Текст сноски Знак Знак Знак1,Текст сноски Знак Знак Знак Знак Знак Знак Знак Знак Знак,Char Зна,Char,f"/>
    <w:basedOn w:val="Normal"/>
    <w:link w:val="FootnoteTextChar"/>
    <w:uiPriority w:val="99"/>
    <w:unhideWhenUsed/>
    <w:rsid w:val="00251D1A"/>
    <w:pPr>
      <w:spacing w:after="0" w:line="240" w:lineRule="auto"/>
    </w:pPr>
    <w:rPr>
      <w:sz w:val="20"/>
      <w:szCs w:val="20"/>
    </w:rPr>
  </w:style>
  <w:style w:type="character" w:customStyle="1" w:styleId="FootnoteTextChar">
    <w:name w:val="Footnote Text Char"/>
    <w:aliases w:val="single space Char,FOOTNOTES Char,fn Char,footnote text Char,Footnote Char,12pt Char,Текст сноски Знак Знак Знак Знак Char,Текст сноски1 Char,Текст сноски-FN Char,Текст сноски Знак2 Char,Текст сноски Знак Знак Знак1 Char,Char Зна Char"/>
    <w:basedOn w:val="DefaultParagraphFont"/>
    <w:link w:val="FootnoteText"/>
    <w:uiPriority w:val="99"/>
    <w:rsid w:val="00251D1A"/>
    <w:rPr>
      <w:sz w:val="20"/>
      <w:szCs w:val="20"/>
    </w:rPr>
  </w:style>
  <w:style w:type="character" w:styleId="Hyperlink">
    <w:name w:val="Hyperlink"/>
    <w:basedOn w:val="DefaultParagraphFont"/>
    <w:uiPriority w:val="99"/>
    <w:unhideWhenUsed/>
    <w:rsid w:val="00251D1A"/>
    <w:rPr>
      <w:color w:val="0563C1" w:themeColor="hyperlink"/>
      <w:u w:val="single"/>
    </w:rPr>
  </w:style>
  <w:style w:type="character" w:styleId="UnresolvedMention">
    <w:name w:val="Unresolved Mention"/>
    <w:basedOn w:val="DefaultParagraphFont"/>
    <w:uiPriority w:val="99"/>
    <w:semiHidden/>
    <w:unhideWhenUsed/>
    <w:rsid w:val="00251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0290">
      <w:bodyDiv w:val="1"/>
      <w:marLeft w:val="0"/>
      <w:marRight w:val="0"/>
      <w:marTop w:val="0"/>
      <w:marBottom w:val="0"/>
      <w:divBdr>
        <w:top w:val="none" w:sz="0" w:space="0" w:color="auto"/>
        <w:left w:val="none" w:sz="0" w:space="0" w:color="auto"/>
        <w:bottom w:val="none" w:sz="0" w:space="0" w:color="auto"/>
        <w:right w:val="none" w:sz="0" w:space="0" w:color="auto"/>
      </w:divBdr>
    </w:div>
    <w:div w:id="483204164">
      <w:bodyDiv w:val="1"/>
      <w:marLeft w:val="0"/>
      <w:marRight w:val="0"/>
      <w:marTop w:val="0"/>
      <w:marBottom w:val="0"/>
      <w:divBdr>
        <w:top w:val="none" w:sz="0" w:space="0" w:color="auto"/>
        <w:left w:val="none" w:sz="0" w:space="0" w:color="auto"/>
        <w:bottom w:val="none" w:sz="0" w:space="0" w:color="auto"/>
        <w:right w:val="none" w:sz="0" w:space="0" w:color="auto"/>
      </w:divBdr>
    </w:div>
    <w:div w:id="915940182">
      <w:bodyDiv w:val="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446"/>
          <w:marRight w:val="0"/>
          <w:marTop w:val="0"/>
          <w:marBottom w:val="200"/>
          <w:divBdr>
            <w:top w:val="none" w:sz="0" w:space="0" w:color="auto"/>
            <w:left w:val="none" w:sz="0" w:space="0" w:color="auto"/>
            <w:bottom w:val="none" w:sz="0" w:space="0" w:color="auto"/>
            <w:right w:val="none" w:sz="0" w:space="0" w:color="auto"/>
          </w:divBdr>
        </w:div>
        <w:div w:id="700521929">
          <w:marLeft w:val="835"/>
          <w:marRight w:val="0"/>
          <w:marTop w:val="0"/>
          <w:marBottom w:val="200"/>
          <w:divBdr>
            <w:top w:val="none" w:sz="0" w:space="0" w:color="auto"/>
            <w:left w:val="none" w:sz="0" w:space="0" w:color="auto"/>
            <w:bottom w:val="none" w:sz="0" w:space="0" w:color="auto"/>
            <w:right w:val="none" w:sz="0" w:space="0" w:color="auto"/>
          </w:divBdr>
        </w:div>
        <w:div w:id="733747199">
          <w:marLeft w:val="1224"/>
          <w:marRight w:val="0"/>
          <w:marTop w:val="0"/>
          <w:marBottom w:val="200"/>
          <w:divBdr>
            <w:top w:val="none" w:sz="0" w:space="0" w:color="auto"/>
            <w:left w:val="none" w:sz="0" w:space="0" w:color="auto"/>
            <w:bottom w:val="none" w:sz="0" w:space="0" w:color="auto"/>
            <w:right w:val="none" w:sz="0" w:space="0" w:color="auto"/>
          </w:divBdr>
        </w:div>
        <w:div w:id="933436536">
          <w:marLeft w:val="835"/>
          <w:marRight w:val="0"/>
          <w:marTop w:val="0"/>
          <w:marBottom w:val="200"/>
          <w:divBdr>
            <w:top w:val="none" w:sz="0" w:space="0" w:color="auto"/>
            <w:left w:val="none" w:sz="0" w:space="0" w:color="auto"/>
            <w:bottom w:val="none" w:sz="0" w:space="0" w:color="auto"/>
            <w:right w:val="none" w:sz="0" w:space="0" w:color="auto"/>
          </w:divBdr>
        </w:div>
        <w:div w:id="1349018472">
          <w:marLeft w:val="835"/>
          <w:marRight w:val="0"/>
          <w:marTop w:val="0"/>
          <w:marBottom w:val="200"/>
          <w:divBdr>
            <w:top w:val="none" w:sz="0" w:space="0" w:color="auto"/>
            <w:left w:val="none" w:sz="0" w:space="0" w:color="auto"/>
            <w:bottom w:val="none" w:sz="0" w:space="0" w:color="auto"/>
            <w:right w:val="none" w:sz="0" w:space="0" w:color="auto"/>
          </w:divBdr>
        </w:div>
        <w:div w:id="1369791925">
          <w:marLeft w:val="1224"/>
          <w:marRight w:val="0"/>
          <w:marTop w:val="0"/>
          <w:marBottom w:val="200"/>
          <w:divBdr>
            <w:top w:val="none" w:sz="0" w:space="0" w:color="auto"/>
            <w:left w:val="none" w:sz="0" w:space="0" w:color="auto"/>
            <w:bottom w:val="none" w:sz="0" w:space="0" w:color="auto"/>
            <w:right w:val="none" w:sz="0" w:space="0" w:color="auto"/>
          </w:divBdr>
        </w:div>
        <w:div w:id="1449474265">
          <w:marLeft w:val="835"/>
          <w:marRight w:val="0"/>
          <w:marTop w:val="0"/>
          <w:marBottom w:val="200"/>
          <w:divBdr>
            <w:top w:val="none" w:sz="0" w:space="0" w:color="auto"/>
            <w:left w:val="none" w:sz="0" w:space="0" w:color="auto"/>
            <w:bottom w:val="none" w:sz="0" w:space="0" w:color="auto"/>
            <w:right w:val="none" w:sz="0" w:space="0" w:color="auto"/>
          </w:divBdr>
        </w:div>
        <w:div w:id="1655644668">
          <w:marLeft w:val="835"/>
          <w:marRight w:val="0"/>
          <w:marTop w:val="0"/>
          <w:marBottom w:val="200"/>
          <w:divBdr>
            <w:top w:val="none" w:sz="0" w:space="0" w:color="auto"/>
            <w:left w:val="none" w:sz="0" w:space="0" w:color="auto"/>
            <w:bottom w:val="none" w:sz="0" w:space="0" w:color="auto"/>
            <w:right w:val="none" w:sz="0" w:space="0" w:color="auto"/>
          </w:divBdr>
        </w:div>
        <w:div w:id="1832864173">
          <w:marLeft w:val="446"/>
          <w:marRight w:val="0"/>
          <w:marTop w:val="0"/>
          <w:marBottom w:val="200"/>
          <w:divBdr>
            <w:top w:val="none" w:sz="0" w:space="0" w:color="auto"/>
            <w:left w:val="none" w:sz="0" w:space="0" w:color="auto"/>
            <w:bottom w:val="none" w:sz="0" w:space="0" w:color="auto"/>
            <w:right w:val="none" w:sz="0" w:space="0" w:color="auto"/>
          </w:divBdr>
        </w:div>
      </w:divsChild>
    </w:div>
    <w:div w:id="1009598224">
      <w:bodyDiv w:val="1"/>
      <w:marLeft w:val="0"/>
      <w:marRight w:val="0"/>
      <w:marTop w:val="0"/>
      <w:marBottom w:val="0"/>
      <w:divBdr>
        <w:top w:val="none" w:sz="0" w:space="0" w:color="auto"/>
        <w:left w:val="none" w:sz="0" w:space="0" w:color="auto"/>
        <w:bottom w:val="none" w:sz="0" w:space="0" w:color="auto"/>
        <w:right w:val="none" w:sz="0" w:space="0" w:color="auto"/>
      </w:divBdr>
    </w:div>
    <w:div w:id="19678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doi.org/10.4324/9780203851081" TargetMode="External"/><Relationship Id="rId1" Type="http://schemas.openxmlformats.org/officeDocument/2006/relationships/hyperlink" Target="https://www.elibrary.imf.org/display/book/9781513511771/ch015.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354ed5-2b9c-4995-8ce9-73f99af2cf16" xsi:nil="true"/>
    <lcf76f155ced4ddcb4097134ff3c332f xmlns="52027c60-bcd5-4967-90ce-ff4ac7b5ae19">
      <Terms xmlns="http://schemas.microsoft.com/office/infopath/2007/PartnerControls"/>
    </lcf76f155ced4ddcb4097134ff3c332f>
    <SharedWithUsers xmlns="ff354ed5-2b9c-4995-8ce9-73f99af2cf16">
      <UserInfo>
        <DisplayName/>
        <AccountId xsi:nil="true"/>
        <AccountType/>
      </UserInfo>
    </SharedWithUsers>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7" ma:contentTypeDescription="Create a new document." ma:contentTypeScope="" ma:versionID="866758a311b3b2d9c2478d2e905bc438">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e9d880b78fa38f0ba80fc031b7ff0c09"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FF65D-E129-4F5D-A876-E7772F629833}">
  <ds:schemaRefs>
    <ds:schemaRef ds:uri="http://schemas.microsoft.com/office/2006/metadata/properties"/>
    <ds:schemaRef ds:uri="http://schemas.microsoft.com/office/infopath/2007/PartnerControls"/>
    <ds:schemaRef ds:uri="http://schemas.microsoft.com/sharepoint/v3"/>
    <ds:schemaRef ds:uri="b5c69278-9fa3-4ff7-8174-6c7e52e5bdf9"/>
    <ds:schemaRef ds:uri="fdf6ab20-2944-42af-9dba-c8a3d4808ed1"/>
    <ds:schemaRef ds:uri="5a7065bc-64eb-4c10-937d-809cc42d23d7"/>
    <ds:schemaRef ds:uri="24339691-f6e6-4c37-9e4b-ba03e2030f22"/>
    <ds:schemaRef ds:uri="9d0a4623-c864-491c-b5bc-3e6bb733add1"/>
  </ds:schemaRefs>
</ds:datastoreItem>
</file>

<file path=customXml/itemProps2.xml><?xml version="1.0" encoding="utf-8"?>
<ds:datastoreItem xmlns:ds="http://schemas.openxmlformats.org/officeDocument/2006/customXml" ds:itemID="{5675EC22-5FF6-4B08-BEDC-E3B358222857}">
  <ds:schemaRefs>
    <ds:schemaRef ds:uri="http://schemas.openxmlformats.org/officeDocument/2006/bibliography"/>
  </ds:schemaRefs>
</ds:datastoreItem>
</file>

<file path=customXml/itemProps3.xml><?xml version="1.0" encoding="utf-8"?>
<ds:datastoreItem xmlns:ds="http://schemas.openxmlformats.org/officeDocument/2006/customXml" ds:itemID="{D258637E-1475-4E27-94A3-F84A4FEBBE9F}">
  <ds:schemaRefs>
    <ds:schemaRef ds:uri="http://schemas.microsoft.com/sharepoint/v3/contenttype/forms"/>
  </ds:schemaRefs>
</ds:datastoreItem>
</file>

<file path=customXml/itemProps4.xml><?xml version="1.0" encoding="utf-8"?>
<ds:datastoreItem xmlns:ds="http://schemas.openxmlformats.org/officeDocument/2006/customXml" ds:itemID="{7F1B52AC-506B-40C4-B0B2-E12DAE04CE5A}"/>
</file>

<file path=docProps/app.xml><?xml version="1.0" encoding="utf-8"?>
<Properties xmlns="http://schemas.openxmlformats.org/officeDocument/2006/extended-properties" xmlns:vt="http://schemas.openxmlformats.org/officeDocument/2006/docPropsVTypes">
  <Template>Normal.dotm</Template>
  <TotalTime>1</TotalTime>
  <Pages>6</Pages>
  <Words>1627</Words>
  <Characters>8227</Characters>
  <Application>Microsoft Office Word</Application>
  <DocSecurity>4</DocSecurity>
  <Lines>161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Readhead</dc:creator>
  <cp:keywords>[SEC=OFFICIAL]</cp:keywords>
  <dc:description/>
  <cp:lastModifiedBy>Robyn Frost</cp:lastModifiedBy>
  <cp:revision>2</cp:revision>
  <dcterms:created xsi:type="dcterms:W3CDTF">2023-06-05T22:58:00Z</dcterms:created>
  <dcterms:modified xsi:type="dcterms:W3CDTF">2023-06-05T22:58:00Z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0x010100C8F0D8564858564099C83BED6BF08E58</vt:lpwstr>
  </property>
  <property fmtid="{D5CDD505-2E9C-101B-9397-08002B2CF9AE}" pid="3" name="MediaServiceImageTags">
    <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FA5DB6172F3C4D75852DF67AE919E3CA</vt:lpwstr>
  </property>
  <property fmtid="{D5CDD505-2E9C-101B-9397-08002B2CF9AE}" pid="11" name="PM_ProtectiveMarkingValue_Footer">
    <vt:lpwstr>OFFICIAL</vt:lpwstr>
  </property>
  <property fmtid="{D5CDD505-2E9C-101B-9397-08002B2CF9AE}" pid="12" name="PM_Originator_Hash_SHA1">
    <vt:lpwstr>99C5868D4E3FED2E0B0D5EA525480BA06F26801E</vt:lpwstr>
  </property>
  <property fmtid="{D5CDD505-2E9C-101B-9397-08002B2CF9AE}" pid="13" name="PM_OriginationTimeStamp">
    <vt:lpwstr>2023-06-05T22:57:18Z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Uuid">
    <vt:lpwstr>ABBFF5E2-9674-55C9-B08D-C9980002FD58</vt:lpwstr>
  </property>
  <property fmtid="{D5CDD505-2E9C-101B-9397-08002B2CF9AE}" pid="22" name="PMUuidVer">
    <vt:lpwstr>2022.1</vt:lpwstr>
  </property>
  <property fmtid="{D5CDD505-2E9C-101B-9397-08002B2CF9AE}" pid="23" name="PM_Hash_Version">
    <vt:lpwstr>2018.0</vt:lpwstr>
  </property>
  <property fmtid="{D5CDD505-2E9C-101B-9397-08002B2CF9AE}" pid="24" name="PM_Hash_Salt_Prev">
    <vt:lpwstr>C863F1AC781263415FEAD50504FF3A75</vt:lpwstr>
  </property>
  <property fmtid="{D5CDD505-2E9C-101B-9397-08002B2CF9AE}" pid="25" name="PM_Hash_Salt">
    <vt:lpwstr>C863F1AC781263415FEAD50504FF3A75</vt:lpwstr>
  </property>
  <property fmtid="{D5CDD505-2E9C-101B-9397-08002B2CF9AE}" pid="26" name="PM_Hash_SHA1">
    <vt:lpwstr>C11B1AF32663D2E6E77A9314BA16C091D7673947</vt:lpwstr>
  </property>
  <property fmtid="{D5CDD505-2E9C-101B-9397-08002B2CF9AE}" pid="27" name="PM_OriginatorUserAccountName_SHA256">
    <vt:lpwstr>2A5B08BD8563F31C9EDCB18D77312BF9947C5840BE3393AF1196CA8C402FB10E</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
  </property>
  <property fmtid="{D5CDD505-2E9C-101B-9397-08002B2CF9AE}" pid="30" name="Order">
    <vt:r8>407100</vt:r8>
  </property>
  <property fmtid="{D5CDD505-2E9C-101B-9397-08002B2CF9AE}" pid="31" name="_SourceUrl">
    <vt:lpwstr/>
  </property>
  <property fmtid="{D5CDD505-2E9C-101B-9397-08002B2CF9AE}" pid="32" name="_SharedFileIndex">
    <vt:lpwstr/>
  </property>
  <property fmtid="{D5CDD505-2E9C-101B-9397-08002B2CF9AE}" pid="33" name="ComplianceAssetId">
    <vt:lpwstr/>
  </property>
  <property fmtid="{D5CDD505-2E9C-101B-9397-08002B2CF9AE}" pid="34" name="_ExtendedDescription">
    <vt:lpwstr/>
  </property>
  <property fmtid="{D5CDD505-2E9C-101B-9397-08002B2CF9AE}" pid="35" name="TriggerFlowInfo">
    <vt:lpwstr/>
  </property>
</Properties>
</file>